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B366" w14:textId="63AD6CF8" w:rsidR="00755FE9" w:rsidRDefault="00755FE9" w:rsidP="00755FE9">
      <w:bookmarkStart w:id="0" w:name="_GoBack"/>
      <w:bookmarkEnd w:id="0"/>
      <w:r>
        <w:t>REGULATION CONCERNING AMENDMENTS TO THE REGULATIONS ON ENVIRONMENTAL SAFETY FOR SHIPS AND MOBILE OFFSHORE UNITS</w:t>
      </w:r>
    </w:p>
    <w:p w14:paraId="5B1B09D3" w14:textId="493D3751" w:rsidR="00755FE9" w:rsidRPr="00755FE9" w:rsidRDefault="00755FE9" w:rsidP="00755FE9">
      <w:pPr>
        <w:rPr>
          <w:sz w:val="18"/>
        </w:rPr>
      </w:pPr>
      <w:r>
        <w:rPr>
          <w:sz w:val="18"/>
        </w:rPr>
        <w:t xml:space="preserve">Legal basis: Laid down by the Norwegian Maritime Authority on xx Month 2019 under the Act of 16 February 2007 No. 9 relating to ship safety and security (Ship Safety and Security Act) sections 2, 3, 6, 13, 31, 32, 33, 34, 35, 37, 38 and 43, cf. Formal Delegation of 16 February 2007 No. 171 and Formal Delegation of 29 June 2007 No. 849, Act 26 June 1998 No. 47 relating to recreational and small craft sections 20, 21, 22, 23, 25, 26, 38 and 39, cf. Formal Delegation of 27 November 1998 No. 1095, Formal Delegation 29 June 2007 No. 848, Formal Delegation 1 December 1998 No. 4532, Formal Delegation 31 May 2007 No. 591 and Formal Delegation 29 June 2007 No. 849.  </w:t>
      </w:r>
    </w:p>
    <w:p w14:paraId="49387978" w14:textId="77777777" w:rsidR="002C5CA4" w:rsidRDefault="00755FE9" w:rsidP="00755FE9">
      <w:r>
        <w:t>Regulations of 30 May 2012 No. 488 on environmental safety for ships and mobile offshore units are amended as follows:</w:t>
      </w:r>
    </w:p>
    <w:p w14:paraId="4D714BD0" w14:textId="649E8477" w:rsidR="00274797" w:rsidRDefault="00274797" w:rsidP="00755FE9">
      <w:r>
        <w:t xml:space="preserve">Section 9 should read: </w:t>
      </w:r>
    </w:p>
    <w:p w14:paraId="2A5BC2EE" w14:textId="596BE930" w:rsidR="00DC3A74" w:rsidRPr="00DC3A74" w:rsidRDefault="00DC3A74" w:rsidP="00DC3A74">
      <w:pPr>
        <w:rPr>
          <w:i/>
          <w:iCs/>
        </w:rPr>
      </w:pPr>
      <w:bookmarkStart w:id="1" w:name="_Hlk16590275"/>
      <w:r>
        <w:rPr>
          <w:i/>
          <w:iCs/>
        </w:rPr>
        <w:t>Section 9</w:t>
      </w:r>
      <w:r>
        <w:rPr>
          <w:i/>
          <w:iCs/>
        </w:rPr>
        <w:tab/>
        <w:t>Prevention of pollution by sewage from ships and mobile offshore units - MARPOL Annex IV</w:t>
      </w:r>
    </w:p>
    <w:p w14:paraId="1F584462" w14:textId="08700008" w:rsidR="00F02241" w:rsidRDefault="00DC3A74" w:rsidP="00F02241">
      <w:r>
        <w:rPr>
          <w:i/>
          <w:iCs/>
        </w:rPr>
        <w:t xml:space="preserve">   MARPOL consolidated edition 2017 Annex IV on the prevention of pollution by sewage, as amended by MEPC.274(69) and MEPC.275(69), shall apply as regulation. In MARPOL, "ship" also means mobile offshore units.</w:t>
      </w:r>
    </w:p>
    <w:p w14:paraId="692BF478" w14:textId="6E9797E9" w:rsidR="00DC3A74" w:rsidRPr="00DC3A74" w:rsidRDefault="00DC3A74" w:rsidP="00DC3A74">
      <w:pPr>
        <w:rPr>
          <w:i/>
          <w:iCs/>
        </w:rPr>
      </w:pPr>
      <w:r>
        <w:rPr>
          <w:i/>
          <w:iCs/>
        </w:rPr>
        <w:t xml:space="preserve">   In the trade areas Small coasting or lesser or In-shore fishing or lesser, the first paragraph shall apply correspondingly for: </w:t>
      </w:r>
    </w:p>
    <w:p w14:paraId="564E814D" w14:textId="669BE89D" w:rsidR="00DC3A74" w:rsidRPr="0042201C" w:rsidRDefault="00DC3A74" w:rsidP="0042201C">
      <w:pPr>
        <w:pStyle w:val="ListParagraph"/>
        <w:numPr>
          <w:ilvl w:val="0"/>
          <w:numId w:val="2"/>
        </w:numPr>
        <w:rPr>
          <w:i/>
          <w:iCs/>
        </w:rPr>
      </w:pPr>
      <w:r>
        <w:rPr>
          <w:i/>
          <w:iCs/>
        </w:rPr>
        <w:t>a ship of 400 gross tonnage and upwards for which the building contract is placed on or after 1 </w:t>
      </w:r>
      <w:r w:rsidR="00EF665E">
        <w:rPr>
          <w:i/>
          <w:iCs/>
        </w:rPr>
        <w:t>March</w:t>
      </w:r>
      <w:r>
        <w:rPr>
          <w:i/>
          <w:iCs/>
        </w:rPr>
        <w:t xml:space="preserve"> 2020, or which is certified to carry more than 15 persons;   </w:t>
      </w:r>
    </w:p>
    <w:p w14:paraId="1CC33B6B" w14:textId="0637BBE9" w:rsidR="00DC3A74" w:rsidRPr="00ED0909" w:rsidRDefault="00137E6B" w:rsidP="0042201C">
      <w:pPr>
        <w:pStyle w:val="ListParagraph"/>
        <w:numPr>
          <w:ilvl w:val="0"/>
          <w:numId w:val="2"/>
        </w:numPr>
        <w:rPr>
          <w:i/>
        </w:rPr>
      </w:pPr>
      <w:r>
        <w:rPr>
          <w:i/>
        </w:rPr>
        <w:t>a passenger ship of 400 gross tonnage and upwards for which the building contract is placed before 1 </w:t>
      </w:r>
      <w:r w:rsidR="00EF665E">
        <w:rPr>
          <w:i/>
        </w:rPr>
        <w:t>March</w:t>
      </w:r>
      <w:r>
        <w:rPr>
          <w:i/>
        </w:rPr>
        <w:t xml:space="preserve"> 2020, and which is certified for more than 100 passengers.</w:t>
      </w:r>
    </w:p>
    <w:bookmarkEnd w:id="1"/>
    <w:p w14:paraId="22AC3770" w14:textId="712461A5" w:rsidR="00796E74" w:rsidRDefault="00796E74" w:rsidP="00755FE9">
      <w:r>
        <w:t xml:space="preserve">Section 9a should read: </w:t>
      </w:r>
    </w:p>
    <w:p w14:paraId="20F6219E" w14:textId="326D108D" w:rsidR="007E73D0" w:rsidRPr="00FE567A" w:rsidRDefault="007E73D0" w:rsidP="00755FE9">
      <w:pPr>
        <w:rPr>
          <w:i/>
          <w:iCs/>
        </w:rPr>
      </w:pPr>
      <w:r>
        <w:rPr>
          <w:i/>
          <w:iCs/>
        </w:rPr>
        <w:t>Section 9a</w:t>
      </w:r>
      <w:r>
        <w:rPr>
          <w:i/>
          <w:iCs/>
        </w:rPr>
        <w:tab/>
        <w:t>Discharge provisions for other vessels</w:t>
      </w:r>
    </w:p>
    <w:p w14:paraId="3D12C4BF" w14:textId="13C2A10E" w:rsidR="007E73D0" w:rsidRPr="00FE567A" w:rsidRDefault="00D27627" w:rsidP="00755FE9">
      <w:pPr>
        <w:rPr>
          <w:i/>
          <w:iCs/>
        </w:rPr>
      </w:pPr>
      <w:r>
        <w:rPr>
          <w:i/>
          <w:iCs/>
        </w:rPr>
        <w:t xml:space="preserve">   For </w:t>
      </w:r>
      <w:proofErr w:type="gramStart"/>
      <w:r>
        <w:rPr>
          <w:i/>
          <w:iCs/>
        </w:rPr>
        <w:t>ships which</w:t>
      </w:r>
      <w:proofErr w:type="gramEnd"/>
      <w:r>
        <w:rPr>
          <w:i/>
          <w:iCs/>
        </w:rPr>
        <w:t xml:space="preserve"> are not covered by section 9, the discharge of sewage into Norwegian near-coastal waters within a distance of 300 metres from the mainland and islands is prohibited.</w:t>
      </w:r>
    </w:p>
    <w:p w14:paraId="4756E4BC" w14:textId="1206016A" w:rsidR="001318FC" w:rsidRDefault="001318FC" w:rsidP="00755FE9">
      <w:pPr>
        <w:rPr>
          <w:iCs/>
        </w:rPr>
      </w:pPr>
      <w:bookmarkStart w:id="2" w:name="_Hlk12255367"/>
      <w:r>
        <w:t>Section 9b should read:</w:t>
      </w:r>
    </w:p>
    <w:p w14:paraId="17157F4D" w14:textId="2FC6EE7C" w:rsidR="0045094D" w:rsidRDefault="0045094D" w:rsidP="00755FE9">
      <w:pPr>
        <w:rPr>
          <w:i/>
        </w:rPr>
      </w:pPr>
      <w:r>
        <w:rPr>
          <w:i/>
        </w:rPr>
        <w:t>Section 9b</w:t>
      </w:r>
      <w:r>
        <w:rPr>
          <w:i/>
        </w:rPr>
        <w:tab/>
        <w:t>Prohibition against discharge into waterways</w:t>
      </w:r>
    </w:p>
    <w:p w14:paraId="50677FAA" w14:textId="6E797F71" w:rsidR="001318FC" w:rsidRDefault="00CF5024" w:rsidP="00755FE9">
      <w:pPr>
        <w:rPr>
          <w:i/>
        </w:rPr>
      </w:pPr>
      <w:r>
        <w:rPr>
          <w:i/>
        </w:rPr>
        <w:t xml:space="preserve">   Discharge of sewage, grey water and similar into waterways is prohibited.</w:t>
      </w:r>
    </w:p>
    <w:bookmarkEnd w:id="2"/>
    <w:p w14:paraId="502E9C0E" w14:textId="010E5CA5" w:rsidR="00755FE9" w:rsidRDefault="00755FE9" w:rsidP="00755FE9">
      <w:r>
        <w:t xml:space="preserve">Section 9c should read: </w:t>
      </w:r>
    </w:p>
    <w:p w14:paraId="2725B7A7" w14:textId="26BB50C3" w:rsidR="00755FE9" w:rsidRPr="00755FE9" w:rsidRDefault="00755FE9" w:rsidP="00755FE9">
      <w:pPr>
        <w:rPr>
          <w:i/>
        </w:rPr>
      </w:pPr>
      <w:bookmarkStart w:id="3" w:name="_Hlk11743542"/>
      <w:r>
        <w:rPr>
          <w:i/>
        </w:rPr>
        <w:t>Section 9c</w:t>
      </w:r>
      <w:r>
        <w:rPr>
          <w:i/>
        </w:rPr>
        <w:tab/>
        <w:t>Supplementary provisions concerning equipment requirements</w:t>
      </w:r>
    </w:p>
    <w:bookmarkEnd w:id="3"/>
    <w:p w14:paraId="6D035117" w14:textId="7B15FFE9" w:rsidR="00755FE9" w:rsidRPr="00755FE9" w:rsidRDefault="00755FE9" w:rsidP="00755FE9">
      <w:pPr>
        <w:rPr>
          <w:i/>
        </w:rPr>
      </w:pPr>
      <w:r>
        <w:rPr>
          <w:i/>
        </w:rPr>
        <w:t xml:space="preserve">   In addition to MARPOL Annex IV regulation 9 on sewage systems, the following requirements apply for </w:t>
      </w:r>
      <w:proofErr w:type="spellStart"/>
      <w:r>
        <w:rPr>
          <w:i/>
        </w:rPr>
        <w:t>comminuting</w:t>
      </w:r>
      <w:proofErr w:type="spellEnd"/>
      <w:r>
        <w:rPr>
          <w:i/>
        </w:rPr>
        <w:t xml:space="preserve"> and disinfecting systems:</w:t>
      </w:r>
    </w:p>
    <w:p w14:paraId="334ACDE0" w14:textId="6270D7B2" w:rsidR="00755FE9" w:rsidRPr="00755FE9" w:rsidRDefault="00755FE9" w:rsidP="00755FE9">
      <w:pPr>
        <w:rPr>
          <w:i/>
        </w:rPr>
      </w:pPr>
      <w:r>
        <w:rPr>
          <w:i/>
        </w:rPr>
        <w:t xml:space="preserve">a) </w:t>
      </w:r>
      <w:proofErr w:type="spellStart"/>
      <w:r>
        <w:rPr>
          <w:i/>
        </w:rPr>
        <w:t>Comminuted</w:t>
      </w:r>
      <w:proofErr w:type="spellEnd"/>
      <w:r>
        <w:rPr>
          <w:i/>
        </w:rPr>
        <w:t xml:space="preserve"> sewage shall be able to pass through a grating with a maximum opening of 10 mm.</w:t>
      </w:r>
    </w:p>
    <w:p w14:paraId="57C8E137" w14:textId="3A49A7DB" w:rsidR="00755FE9" w:rsidRPr="00755FE9" w:rsidRDefault="00755FE9" w:rsidP="00755FE9">
      <w:pPr>
        <w:rPr>
          <w:i/>
        </w:rPr>
      </w:pPr>
      <w:r>
        <w:rPr>
          <w:i/>
        </w:rPr>
        <w:t>b) The system shall have capacity for the temporary storage of sewage, where recognised norms for the calculation are used and where the operation of the ship, the maximum number of persons on board and other relevant factors are taken into consideration.</w:t>
      </w:r>
    </w:p>
    <w:p w14:paraId="5074E8D3" w14:textId="2A556E63" w:rsidR="00755FE9" w:rsidRPr="00755FE9" w:rsidRDefault="00755FE9" w:rsidP="00755FE9">
      <w:pPr>
        <w:rPr>
          <w:i/>
        </w:rPr>
      </w:pPr>
      <w:r>
        <w:rPr>
          <w:i/>
        </w:rPr>
        <w:lastRenderedPageBreak/>
        <w:t>c) The system's holding tank shall be provided with a visual indication of the amount of stored sewage and meet the construction requirements from a recognised classification society or the Regulations on the construction of ships.</w:t>
      </w:r>
    </w:p>
    <w:p w14:paraId="3014CB6F" w14:textId="2A78A355" w:rsidR="00755FE9" w:rsidRPr="00755FE9" w:rsidRDefault="00755FE9" w:rsidP="00755FE9">
      <w:pPr>
        <w:rPr>
          <w:i/>
        </w:rPr>
      </w:pPr>
      <w:r>
        <w:rPr>
          <w:i/>
        </w:rPr>
        <w:t>d) A suitable disinfectant or sanitary fluid shall be added to the plant along with the sewage.</w:t>
      </w:r>
    </w:p>
    <w:p w14:paraId="40E0CF69" w14:textId="02250129" w:rsidR="00C31B54" w:rsidRDefault="00755FE9" w:rsidP="004B7755">
      <w:r>
        <w:rPr>
          <w:i/>
        </w:rPr>
        <w:t xml:space="preserve">   The holding tank, as mentioned in MARPOL Annex IV regulation 9.1.3 and 9.2.2, shall have sufficient capacity for the retention of all sewage. The capacity shall be calculated according to the second paragraph (b), and the holding tank shall be constructed to comply with the requirements of the second paragraph (c).</w:t>
      </w:r>
      <w:r>
        <w:t xml:space="preserve"> </w:t>
      </w:r>
    </w:p>
    <w:p w14:paraId="5D1C03E7" w14:textId="670546B0" w:rsidR="004B7755" w:rsidRDefault="000707DE" w:rsidP="004B7755">
      <w:r>
        <w:t xml:space="preserve">Section 9d should read: </w:t>
      </w:r>
    </w:p>
    <w:p w14:paraId="58CF0EA7" w14:textId="1EB86113" w:rsidR="0011212C" w:rsidRPr="0011212C" w:rsidRDefault="0011212C" w:rsidP="0011212C">
      <w:pPr>
        <w:rPr>
          <w:i/>
        </w:rPr>
      </w:pPr>
      <w:bookmarkStart w:id="4" w:name="_Hlk11743556"/>
      <w:r>
        <w:rPr>
          <w:i/>
        </w:rPr>
        <w:t>Section 9d</w:t>
      </w:r>
      <w:r>
        <w:rPr>
          <w:i/>
        </w:rPr>
        <w:tab/>
        <w:t xml:space="preserve">Phasing-in of requirements for sewage discharge </w:t>
      </w:r>
    </w:p>
    <w:bookmarkEnd w:id="4"/>
    <w:p w14:paraId="637973A8" w14:textId="60B6E3EA" w:rsidR="006469A3" w:rsidRDefault="001D184F" w:rsidP="0011212C">
      <w:pPr>
        <w:rPr>
          <w:i/>
        </w:rPr>
      </w:pPr>
      <w:r>
        <w:rPr>
          <w:i/>
        </w:rPr>
        <w:t xml:space="preserve">   Passenger ships of 400 gross tonnage and upwards</w:t>
      </w:r>
      <w:r>
        <w:t xml:space="preserve"> </w:t>
      </w:r>
      <w:r>
        <w:rPr>
          <w:i/>
        </w:rPr>
        <w:t>for which the building contract is placed before 1 </w:t>
      </w:r>
      <w:r w:rsidR="00B92EE9">
        <w:rPr>
          <w:i/>
        </w:rPr>
        <w:t>March</w:t>
      </w:r>
      <w:r>
        <w:rPr>
          <w:i/>
        </w:rPr>
        <w:t xml:space="preserve"> 2020 and which are certified to carry more than 100 passengers and engaged on a regular service in Norway, shall comply with the discharge provisions of section 9 second paragraph (b) from the first scheduled dry-docking after </w:t>
      </w:r>
      <w:r w:rsidR="00EF665E">
        <w:rPr>
          <w:i/>
        </w:rPr>
        <w:t>29 February 2020</w:t>
      </w:r>
      <w:r>
        <w:rPr>
          <w:i/>
        </w:rPr>
        <w:t xml:space="preserve">. Up until the first dry-docking, the discharge of sewage is prohibited within a distance of 300 metres from the mainland and islands. </w:t>
      </w:r>
    </w:p>
    <w:p w14:paraId="68E7D48A" w14:textId="06E1E446" w:rsidR="00100CC8" w:rsidRDefault="00100CC8" w:rsidP="00100CC8">
      <w:r>
        <w:t xml:space="preserve">Section 10 should read: </w:t>
      </w:r>
    </w:p>
    <w:p w14:paraId="75A4B1E8" w14:textId="6B9AB493" w:rsidR="0011212C" w:rsidRPr="001E7287" w:rsidRDefault="0011212C" w:rsidP="0011212C">
      <w:pPr>
        <w:rPr>
          <w:i/>
        </w:rPr>
      </w:pPr>
      <w:bookmarkStart w:id="5" w:name="_Hlk11743565"/>
      <w:r>
        <w:rPr>
          <w:i/>
        </w:rPr>
        <w:t>Section 10</w:t>
      </w:r>
      <w:r>
        <w:rPr>
          <w:i/>
        </w:rPr>
        <w:tab/>
        <w:t xml:space="preserve">Legal basis for exemption </w:t>
      </w:r>
    </w:p>
    <w:bookmarkEnd w:id="5"/>
    <w:p w14:paraId="40DAA0DC" w14:textId="358FC6D0" w:rsidR="00025C56" w:rsidRPr="00F20151" w:rsidRDefault="0011212C" w:rsidP="00F05831">
      <w:pPr>
        <w:rPr>
          <w:i/>
        </w:rPr>
      </w:pPr>
      <w:r>
        <w:rPr>
          <w:i/>
        </w:rPr>
        <w:t xml:space="preserve">   </w:t>
      </w:r>
      <w:bookmarkStart w:id="6" w:name="_Hlk22553772"/>
      <w:r>
        <w:rPr>
          <w:i/>
        </w:rPr>
        <w:t>The Norwegian Maritime Authority may in special cases grant exemptions from section 9</w:t>
      </w:r>
      <w:r w:rsidR="004574E0">
        <w:rPr>
          <w:i/>
        </w:rPr>
        <w:t xml:space="preserve"> </w:t>
      </w:r>
      <w:r w:rsidR="004574E0" w:rsidRPr="004574E0">
        <w:rPr>
          <w:i/>
        </w:rPr>
        <w:t>for ships that are not covered by MARPOL Annex IV regulation 2, cf. section 9.</w:t>
      </w:r>
      <w:r>
        <w:rPr>
          <w:i/>
        </w:rPr>
        <w:t xml:space="preserve"> </w:t>
      </w:r>
      <w:bookmarkEnd w:id="6"/>
      <w:r>
        <w:rPr>
          <w:i/>
        </w:rPr>
        <w:t>The decision to grant the exemption shall give particular emphasis to whether the ship has been protected by law or has been given status as a ship of historical importance by the Directorate for the Cultural Heritage or whoever is authorised by that Directorate, and to whether the implementation of the requirements may interfere with the historical importance of the ship.</w:t>
      </w:r>
    </w:p>
    <w:p w14:paraId="26F88752" w14:textId="24FF1624" w:rsidR="00100CC8" w:rsidRDefault="002A3EF4" w:rsidP="00C9376F">
      <w:r>
        <w:t xml:space="preserve">Section 10a should read: </w:t>
      </w:r>
    </w:p>
    <w:p w14:paraId="48EB9504" w14:textId="27883EF9" w:rsidR="006959F3" w:rsidRPr="0070281E" w:rsidRDefault="00262A47" w:rsidP="0070281E">
      <w:pPr>
        <w:spacing w:after="0"/>
        <w:rPr>
          <w:i/>
          <w:iCs/>
        </w:rPr>
      </w:pPr>
      <w:bookmarkStart w:id="7" w:name="_Hlk11743582"/>
      <w:r>
        <w:rPr>
          <w:i/>
          <w:iCs/>
        </w:rPr>
        <w:t>Section 10a</w:t>
      </w:r>
      <w:r>
        <w:rPr>
          <w:i/>
          <w:iCs/>
        </w:rPr>
        <w:tab/>
        <w:t xml:space="preserve">Documentary requirements for delivery of sewage to land </w:t>
      </w:r>
      <w:bookmarkEnd w:id="7"/>
    </w:p>
    <w:p w14:paraId="7BEC4FAB" w14:textId="684C1F9D" w:rsidR="00262A47" w:rsidRDefault="002A3EF4" w:rsidP="0070281E">
      <w:pPr>
        <w:spacing w:after="0"/>
      </w:pPr>
      <w:r>
        <w:rPr>
          <w:i/>
          <w:iCs/>
        </w:rPr>
        <w:t xml:space="preserve">    The ship shall document deliveries of sewage to land.  </w:t>
      </w:r>
    </w:p>
    <w:p w14:paraId="2132FB71" w14:textId="77777777" w:rsidR="00755FE9" w:rsidRDefault="00755FE9" w:rsidP="0070281E">
      <w:pPr>
        <w:spacing w:after="0"/>
        <w:ind w:firstLine="708"/>
      </w:pPr>
    </w:p>
    <w:p w14:paraId="3BE4DA12" w14:textId="77777777" w:rsidR="00755FE9" w:rsidRPr="00755FE9" w:rsidRDefault="00755FE9" w:rsidP="00755FE9">
      <w:pPr>
        <w:ind w:firstLine="708"/>
        <w:rPr>
          <w:b/>
        </w:rPr>
      </w:pPr>
    </w:p>
    <w:p w14:paraId="558EAAF8" w14:textId="77777777" w:rsidR="00755FE9" w:rsidRDefault="00755FE9" w:rsidP="00755FE9">
      <w:pPr>
        <w:ind w:firstLine="708"/>
        <w:jc w:val="center"/>
        <w:rPr>
          <w:b/>
        </w:rPr>
      </w:pPr>
      <w:r>
        <w:rPr>
          <w:b/>
        </w:rPr>
        <w:t>II</w:t>
      </w:r>
    </w:p>
    <w:p w14:paraId="5D41E267" w14:textId="764022E9" w:rsidR="00755FE9" w:rsidRDefault="00557939" w:rsidP="00755FE9">
      <w:r w:rsidRPr="00557939">
        <w:t xml:space="preserve">This Regulation enters into force on </w:t>
      </w:r>
      <w:proofErr w:type="spellStart"/>
      <w:r w:rsidRPr="00557939">
        <w:t>mmddyyyy</w:t>
      </w:r>
      <w:proofErr w:type="spellEnd"/>
      <w:r w:rsidRPr="00557939">
        <w:t>.</w:t>
      </w:r>
      <w:r w:rsidR="00755FE9">
        <w:t xml:space="preserve"> </w:t>
      </w:r>
    </w:p>
    <w:p w14:paraId="0FC65584" w14:textId="46CB7288" w:rsidR="001E7287" w:rsidRDefault="001E7287" w:rsidP="00755FE9"/>
    <w:p w14:paraId="3BF66591" w14:textId="77777777" w:rsidR="001E7287" w:rsidRPr="00755FE9" w:rsidRDefault="001E7287" w:rsidP="00755FE9"/>
    <w:sectPr w:rsidR="001E7287" w:rsidRPr="00755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601E"/>
    <w:multiLevelType w:val="hybridMultilevel"/>
    <w:tmpl w:val="3024627A"/>
    <w:lvl w:ilvl="0" w:tplc="EDA432CC">
      <w:start w:val="1"/>
      <w:numFmt w:val="lowerLetter"/>
      <w:lvlText w:val="%1)"/>
      <w:lvlJc w:val="left"/>
      <w:pPr>
        <w:ind w:left="504" w:hanging="360"/>
      </w:pPr>
      <w:rPr>
        <w:rFonts w:hint="default"/>
      </w:rPr>
    </w:lvl>
    <w:lvl w:ilvl="1" w:tplc="04140019" w:tentative="1">
      <w:start w:val="1"/>
      <w:numFmt w:val="lowerLetter"/>
      <w:lvlText w:val="%2."/>
      <w:lvlJc w:val="left"/>
      <w:pPr>
        <w:ind w:left="1224" w:hanging="360"/>
      </w:pPr>
    </w:lvl>
    <w:lvl w:ilvl="2" w:tplc="0414001B" w:tentative="1">
      <w:start w:val="1"/>
      <w:numFmt w:val="lowerRoman"/>
      <w:lvlText w:val="%3."/>
      <w:lvlJc w:val="right"/>
      <w:pPr>
        <w:ind w:left="1944" w:hanging="180"/>
      </w:pPr>
    </w:lvl>
    <w:lvl w:ilvl="3" w:tplc="0414000F" w:tentative="1">
      <w:start w:val="1"/>
      <w:numFmt w:val="decimal"/>
      <w:lvlText w:val="%4."/>
      <w:lvlJc w:val="left"/>
      <w:pPr>
        <w:ind w:left="2664" w:hanging="360"/>
      </w:pPr>
    </w:lvl>
    <w:lvl w:ilvl="4" w:tplc="04140019" w:tentative="1">
      <w:start w:val="1"/>
      <w:numFmt w:val="lowerLetter"/>
      <w:lvlText w:val="%5."/>
      <w:lvlJc w:val="left"/>
      <w:pPr>
        <w:ind w:left="3384" w:hanging="360"/>
      </w:pPr>
    </w:lvl>
    <w:lvl w:ilvl="5" w:tplc="0414001B" w:tentative="1">
      <w:start w:val="1"/>
      <w:numFmt w:val="lowerRoman"/>
      <w:lvlText w:val="%6."/>
      <w:lvlJc w:val="right"/>
      <w:pPr>
        <w:ind w:left="4104" w:hanging="180"/>
      </w:pPr>
    </w:lvl>
    <w:lvl w:ilvl="6" w:tplc="0414000F" w:tentative="1">
      <w:start w:val="1"/>
      <w:numFmt w:val="decimal"/>
      <w:lvlText w:val="%7."/>
      <w:lvlJc w:val="left"/>
      <w:pPr>
        <w:ind w:left="4824" w:hanging="360"/>
      </w:pPr>
    </w:lvl>
    <w:lvl w:ilvl="7" w:tplc="04140019" w:tentative="1">
      <w:start w:val="1"/>
      <w:numFmt w:val="lowerLetter"/>
      <w:lvlText w:val="%8."/>
      <w:lvlJc w:val="left"/>
      <w:pPr>
        <w:ind w:left="5544" w:hanging="360"/>
      </w:pPr>
    </w:lvl>
    <w:lvl w:ilvl="8" w:tplc="0414001B" w:tentative="1">
      <w:start w:val="1"/>
      <w:numFmt w:val="lowerRoman"/>
      <w:lvlText w:val="%9."/>
      <w:lvlJc w:val="right"/>
      <w:pPr>
        <w:ind w:left="6264" w:hanging="180"/>
      </w:pPr>
    </w:lvl>
  </w:abstractNum>
  <w:abstractNum w:abstractNumId="1" w15:restartNumberingAfterBreak="0">
    <w:nsid w:val="74720398"/>
    <w:multiLevelType w:val="hybridMultilevel"/>
    <w:tmpl w:val="5BB8FC5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9"/>
    <w:rsid w:val="00016D29"/>
    <w:rsid w:val="00021990"/>
    <w:rsid w:val="00025C16"/>
    <w:rsid w:val="00025C56"/>
    <w:rsid w:val="00035399"/>
    <w:rsid w:val="000367DE"/>
    <w:rsid w:val="0004170F"/>
    <w:rsid w:val="00051E23"/>
    <w:rsid w:val="00060DE0"/>
    <w:rsid w:val="000707DE"/>
    <w:rsid w:val="00076EAF"/>
    <w:rsid w:val="00091605"/>
    <w:rsid w:val="000A407E"/>
    <w:rsid w:val="000A4687"/>
    <w:rsid w:val="000C0E9A"/>
    <w:rsid w:val="000C5A43"/>
    <w:rsid w:val="000D3667"/>
    <w:rsid w:val="000E03EE"/>
    <w:rsid w:val="000E7BDE"/>
    <w:rsid w:val="000F7EA0"/>
    <w:rsid w:val="001004A6"/>
    <w:rsid w:val="00100CC8"/>
    <w:rsid w:val="00103D16"/>
    <w:rsid w:val="001053C2"/>
    <w:rsid w:val="001106C7"/>
    <w:rsid w:val="0011212C"/>
    <w:rsid w:val="0012165D"/>
    <w:rsid w:val="001310A4"/>
    <w:rsid w:val="001318FC"/>
    <w:rsid w:val="00137E6B"/>
    <w:rsid w:val="00151850"/>
    <w:rsid w:val="00154C70"/>
    <w:rsid w:val="00170C58"/>
    <w:rsid w:val="00177DDA"/>
    <w:rsid w:val="001A0079"/>
    <w:rsid w:val="001A28A2"/>
    <w:rsid w:val="001C0355"/>
    <w:rsid w:val="001D184F"/>
    <w:rsid w:val="001E7287"/>
    <w:rsid w:val="00205F13"/>
    <w:rsid w:val="002062C3"/>
    <w:rsid w:val="00207CB9"/>
    <w:rsid w:val="002169FB"/>
    <w:rsid w:val="00227587"/>
    <w:rsid w:val="00247111"/>
    <w:rsid w:val="00253087"/>
    <w:rsid w:val="00254D71"/>
    <w:rsid w:val="00262A47"/>
    <w:rsid w:val="00266837"/>
    <w:rsid w:val="00267A2B"/>
    <w:rsid w:val="002712ED"/>
    <w:rsid w:val="00274797"/>
    <w:rsid w:val="002A3EF4"/>
    <w:rsid w:val="002C2374"/>
    <w:rsid w:val="002C5CA4"/>
    <w:rsid w:val="002D0F32"/>
    <w:rsid w:val="002D69C4"/>
    <w:rsid w:val="003031DF"/>
    <w:rsid w:val="0030685E"/>
    <w:rsid w:val="00311BBF"/>
    <w:rsid w:val="00320291"/>
    <w:rsid w:val="00326A33"/>
    <w:rsid w:val="0033193E"/>
    <w:rsid w:val="003456FF"/>
    <w:rsid w:val="003554B5"/>
    <w:rsid w:val="003766F6"/>
    <w:rsid w:val="00381389"/>
    <w:rsid w:val="003817CA"/>
    <w:rsid w:val="00387CFF"/>
    <w:rsid w:val="003A1F75"/>
    <w:rsid w:val="003A6E59"/>
    <w:rsid w:val="003C7ACD"/>
    <w:rsid w:val="003D07E5"/>
    <w:rsid w:val="003E03B6"/>
    <w:rsid w:val="003F4288"/>
    <w:rsid w:val="00405478"/>
    <w:rsid w:val="00410646"/>
    <w:rsid w:val="0042201C"/>
    <w:rsid w:val="0042437A"/>
    <w:rsid w:val="0042472D"/>
    <w:rsid w:val="0043688C"/>
    <w:rsid w:val="004402BF"/>
    <w:rsid w:val="0045094D"/>
    <w:rsid w:val="00454119"/>
    <w:rsid w:val="004574E0"/>
    <w:rsid w:val="00465CA2"/>
    <w:rsid w:val="00466495"/>
    <w:rsid w:val="004819D3"/>
    <w:rsid w:val="00491D8D"/>
    <w:rsid w:val="004B2EE3"/>
    <w:rsid w:val="004B7755"/>
    <w:rsid w:val="004C1FE9"/>
    <w:rsid w:val="004D5889"/>
    <w:rsid w:val="004E7841"/>
    <w:rsid w:val="004F756C"/>
    <w:rsid w:val="0050127F"/>
    <w:rsid w:val="00503A02"/>
    <w:rsid w:val="00517853"/>
    <w:rsid w:val="005277BA"/>
    <w:rsid w:val="00553784"/>
    <w:rsid w:val="005569C8"/>
    <w:rsid w:val="00557939"/>
    <w:rsid w:val="005663E4"/>
    <w:rsid w:val="00571684"/>
    <w:rsid w:val="0057595C"/>
    <w:rsid w:val="00577045"/>
    <w:rsid w:val="00580CBA"/>
    <w:rsid w:val="005A2069"/>
    <w:rsid w:val="005B27F2"/>
    <w:rsid w:val="005B7A21"/>
    <w:rsid w:val="005C1532"/>
    <w:rsid w:val="005C1F8D"/>
    <w:rsid w:val="005C2F8A"/>
    <w:rsid w:val="005C4D35"/>
    <w:rsid w:val="005F52A5"/>
    <w:rsid w:val="006028BB"/>
    <w:rsid w:val="00605B8D"/>
    <w:rsid w:val="00611B07"/>
    <w:rsid w:val="006159D2"/>
    <w:rsid w:val="00621AEE"/>
    <w:rsid w:val="006317EC"/>
    <w:rsid w:val="006469A3"/>
    <w:rsid w:val="0064734A"/>
    <w:rsid w:val="006534EF"/>
    <w:rsid w:val="006568DF"/>
    <w:rsid w:val="00663B0C"/>
    <w:rsid w:val="006659FA"/>
    <w:rsid w:val="00665A4B"/>
    <w:rsid w:val="00670CB4"/>
    <w:rsid w:val="006959F3"/>
    <w:rsid w:val="006A5F8B"/>
    <w:rsid w:val="006C64C7"/>
    <w:rsid w:val="006E147E"/>
    <w:rsid w:val="0070281E"/>
    <w:rsid w:val="00725CDD"/>
    <w:rsid w:val="00730DE0"/>
    <w:rsid w:val="00755FE9"/>
    <w:rsid w:val="007578B2"/>
    <w:rsid w:val="00757F48"/>
    <w:rsid w:val="0077106A"/>
    <w:rsid w:val="00796E74"/>
    <w:rsid w:val="007D3130"/>
    <w:rsid w:val="007D7BBB"/>
    <w:rsid w:val="007E73D0"/>
    <w:rsid w:val="007F3A59"/>
    <w:rsid w:val="00802909"/>
    <w:rsid w:val="008218D6"/>
    <w:rsid w:val="0085590E"/>
    <w:rsid w:val="00861369"/>
    <w:rsid w:val="008627A2"/>
    <w:rsid w:val="00862B75"/>
    <w:rsid w:val="00863822"/>
    <w:rsid w:val="008D5E8F"/>
    <w:rsid w:val="008E2972"/>
    <w:rsid w:val="008F1311"/>
    <w:rsid w:val="00925072"/>
    <w:rsid w:val="00927B1D"/>
    <w:rsid w:val="0094293F"/>
    <w:rsid w:val="00960935"/>
    <w:rsid w:val="00974DD0"/>
    <w:rsid w:val="00982BA6"/>
    <w:rsid w:val="0098760B"/>
    <w:rsid w:val="009C7856"/>
    <w:rsid w:val="009D6603"/>
    <w:rsid w:val="009E4FCB"/>
    <w:rsid w:val="009F3997"/>
    <w:rsid w:val="00A00D65"/>
    <w:rsid w:val="00A04D46"/>
    <w:rsid w:val="00A10F7D"/>
    <w:rsid w:val="00A16275"/>
    <w:rsid w:val="00A2361B"/>
    <w:rsid w:val="00A479DA"/>
    <w:rsid w:val="00A51373"/>
    <w:rsid w:val="00A513D8"/>
    <w:rsid w:val="00A67400"/>
    <w:rsid w:val="00A81615"/>
    <w:rsid w:val="00A87EE9"/>
    <w:rsid w:val="00AD2FF2"/>
    <w:rsid w:val="00AD6A69"/>
    <w:rsid w:val="00AF7960"/>
    <w:rsid w:val="00B0094A"/>
    <w:rsid w:val="00B035D9"/>
    <w:rsid w:val="00B03925"/>
    <w:rsid w:val="00B10C33"/>
    <w:rsid w:val="00B1651C"/>
    <w:rsid w:val="00B17495"/>
    <w:rsid w:val="00B23CAE"/>
    <w:rsid w:val="00B3747F"/>
    <w:rsid w:val="00B45A3C"/>
    <w:rsid w:val="00B7217C"/>
    <w:rsid w:val="00B72465"/>
    <w:rsid w:val="00B7284C"/>
    <w:rsid w:val="00B7407A"/>
    <w:rsid w:val="00B90013"/>
    <w:rsid w:val="00B92EE9"/>
    <w:rsid w:val="00B9587B"/>
    <w:rsid w:val="00BA0411"/>
    <w:rsid w:val="00BB41E9"/>
    <w:rsid w:val="00BB6E86"/>
    <w:rsid w:val="00BC5D3E"/>
    <w:rsid w:val="00C169D8"/>
    <w:rsid w:val="00C21AA6"/>
    <w:rsid w:val="00C31B54"/>
    <w:rsid w:val="00C3648C"/>
    <w:rsid w:val="00C77666"/>
    <w:rsid w:val="00C9376F"/>
    <w:rsid w:val="00C963D9"/>
    <w:rsid w:val="00CA0E29"/>
    <w:rsid w:val="00CC390D"/>
    <w:rsid w:val="00CD2CB8"/>
    <w:rsid w:val="00CE35B4"/>
    <w:rsid w:val="00CF5024"/>
    <w:rsid w:val="00D04949"/>
    <w:rsid w:val="00D21207"/>
    <w:rsid w:val="00D24040"/>
    <w:rsid w:val="00D24195"/>
    <w:rsid w:val="00D25F72"/>
    <w:rsid w:val="00D27627"/>
    <w:rsid w:val="00D50777"/>
    <w:rsid w:val="00D54363"/>
    <w:rsid w:val="00D642A3"/>
    <w:rsid w:val="00D65A8D"/>
    <w:rsid w:val="00D660FF"/>
    <w:rsid w:val="00D67ED7"/>
    <w:rsid w:val="00D837CA"/>
    <w:rsid w:val="00D8465F"/>
    <w:rsid w:val="00D90951"/>
    <w:rsid w:val="00DA1BB5"/>
    <w:rsid w:val="00DA63F6"/>
    <w:rsid w:val="00DC3A74"/>
    <w:rsid w:val="00DD280F"/>
    <w:rsid w:val="00DE4E34"/>
    <w:rsid w:val="00DE6215"/>
    <w:rsid w:val="00DF3855"/>
    <w:rsid w:val="00E06746"/>
    <w:rsid w:val="00E115DD"/>
    <w:rsid w:val="00E11649"/>
    <w:rsid w:val="00E13DC8"/>
    <w:rsid w:val="00E4037C"/>
    <w:rsid w:val="00E6013E"/>
    <w:rsid w:val="00E6292F"/>
    <w:rsid w:val="00E768FB"/>
    <w:rsid w:val="00EB0AC6"/>
    <w:rsid w:val="00EC66B7"/>
    <w:rsid w:val="00ED0909"/>
    <w:rsid w:val="00EF665E"/>
    <w:rsid w:val="00F02241"/>
    <w:rsid w:val="00F04BCD"/>
    <w:rsid w:val="00F05831"/>
    <w:rsid w:val="00F1071A"/>
    <w:rsid w:val="00F1781E"/>
    <w:rsid w:val="00F20151"/>
    <w:rsid w:val="00F22BA3"/>
    <w:rsid w:val="00F26E63"/>
    <w:rsid w:val="00F3703F"/>
    <w:rsid w:val="00F4111B"/>
    <w:rsid w:val="00F42A64"/>
    <w:rsid w:val="00F62D2F"/>
    <w:rsid w:val="00F63AE7"/>
    <w:rsid w:val="00F77CCA"/>
    <w:rsid w:val="00F8240E"/>
    <w:rsid w:val="00FB0A29"/>
    <w:rsid w:val="00FE56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C00A"/>
  <w15:chartTrackingRefBased/>
  <w15:docId w15:val="{1A3F561B-1024-477C-A139-329D5E6DD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4949"/>
    <w:rPr>
      <w:sz w:val="16"/>
      <w:szCs w:val="16"/>
    </w:rPr>
  </w:style>
  <w:style w:type="paragraph" w:styleId="CommentText">
    <w:name w:val="annotation text"/>
    <w:basedOn w:val="Normal"/>
    <w:link w:val="CommentTextChar"/>
    <w:uiPriority w:val="99"/>
    <w:semiHidden/>
    <w:unhideWhenUsed/>
    <w:rsid w:val="00D04949"/>
    <w:pPr>
      <w:spacing w:line="240" w:lineRule="auto"/>
    </w:pPr>
    <w:rPr>
      <w:sz w:val="20"/>
      <w:szCs w:val="20"/>
    </w:rPr>
  </w:style>
  <w:style w:type="character" w:customStyle="1" w:styleId="CommentTextChar">
    <w:name w:val="Comment Text Char"/>
    <w:basedOn w:val="DefaultParagraphFont"/>
    <w:link w:val="CommentText"/>
    <w:uiPriority w:val="99"/>
    <w:semiHidden/>
    <w:rsid w:val="00D04949"/>
    <w:rPr>
      <w:sz w:val="20"/>
      <w:szCs w:val="20"/>
    </w:rPr>
  </w:style>
  <w:style w:type="paragraph" w:styleId="CommentSubject">
    <w:name w:val="annotation subject"/>
    <w:basedOn w:val="CommentText"/>
    <w:next w:val="CommentText"/>
    <w:link w:val="CommentSubjectChar"/>
    <w:uiPriority w:val="99"/>
    <w:semiHidden/>
    <w:unhideWhenUsed/>
    <w:rsid w:val="00D04949"/>
    <w:rPr>
      <w:b/>
      <w:bCs/>
    </w:rPr>
  </w:style>
  <w:style w:type="character" w:customStyle="1" w:styleId="CommentSubjectChar">
    <w:name w:val="Comment Subject Char"/>
    <w:basedOn w:val="CommentTextChar"/>
    <w:link w:val="CommentSubject"/>
    <w:uiPriority w:val="99"/>
    <w:semiHidden/>
    <w:rsid w:val="00D04949"/>
    <w:rPr>
      <w:b/>
      <w:bCs/>
      <w:sz w:val="20"/>
      <w:szCs w:val="20"/>
    </w:rPr>
  </w:style>
  <w:style w:type="paragraph" w:styleId="BalloonText">
    <w:name w:val="Balloon Text"/>
    <w:basedOn w:val="Normal"/>
    <w:link w:val="BalloonTextChar"/>
    <w:uiPriority w:val="99"/>
    <w:semiHidden/>
    <w:unhideWhenUsed/>
    <w:rsid w:val="00D04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949"/>
    <w:rPr>
      <w:rFonts w:ascii="Segoe UI" w:hAnsi="Segoe UI" w:cs="Segoe UI"/>
      <w:sz w:val="18"/>
      <w:szCs w:val="18"/>
    </w:rPr>
  </w:style>
  <w:style w:type="paragraph" w:styleId="Revision">
    <w:name w:val="Revision"/>
    <w:hidden/>
    <w:uiPriority w:val="99"/>
    <w:semiHidden/>
    <w:rsid w:val="001318FC"/>
    <w:pPr>
      <w:spacing w:after="0" w:line="240" w:lineRule="auto"/>
    </w:pPr>
  </w:style>
  <w:style w:type="paragraph" w:styleId="ListParagraph">
    <w:name w:val="List Paragraph"/>
    <w:basedOn w:val="Normal"/>
    <w:uiPriority w:val="34"/>
    <w:qFormat/>
    <w:rsid w:val="0050127F"/>
    <w:pPr>
      <w:ind w:left="720"/>
      <w:contextualSpacing/>
    </w:pPr>
  </w:style>
  <w:style w:type="character" w:styleId="Emphasis">
    <w:name w:val="Emphasis"/>
    <w:basedOn w:val="DefaultParagraphFont"/>
    <w:uiPriority w:val="20"/>
    <w:qFormat/>
    <w:rsid w:val="004B2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f595842-50c2-439a-8ba8-4650dfbf24bb" ContentTypeId="0x0101008ABC6F4325FBF146B7577C860B30D36001" PreviousValue="false"/>
</file>

<file path=customXml/item2.xml><?xml version="1.0" encoding="utf-8"?>
<ct:contentTypeSchema xmlns:ct="http://schemas.microsoft.com/office/2006/metadata/contentType" xmlns:ma="http://schemas.microsoft.com/office/2006/metadata/properties/metaAttributes" ct:_="" ma:_="" ma:contentTypeName="SDIR Dokument" ma:contentTypeID="0x0101008ABC6F4325FBF146B7577C860B30D3600100BAD5D04FC15F444985E53EC019943CB5" ma:contentTypeVersion="211" ma:contentTypeDescription="Opprett et nytt dokument" ma:contentTypeScope="" ma:versionID="881351b2631b270c7f891de5be94df16">
  <xsd:schema xmlns:xsd="http://www.w3.org/2001/XMLSchema" xmlns:xs="http://www.w3.org/2001/XMLSchema" xmlns:p="http://schemas.microsoft.com/office/2006/metadata/properties" xmlns:ns2="1065ab05-f7f8-4724-b49f-1e8bf2acbb1d" xmlns:ns3="f2ec8d3c-c12f-424c-926f-1f8ebca512fc" targetNamespace="http://schemas.microsoft.com/office/2006/metadata/properties" ma:root="true" ma:fieldsID="4bcb0b6cf2eb7f14e63176701026c72d" ns2:_="" ns3:_="">
    <xsd:import namespace="1065ab05-f7f8-4724-b49f-1e8bf2acbb1d"/>
    <xsd:import namespace="f2ec8d3c-c12f-424c-926f-1f8ebca512fc"/>
    <xsd:element name="properties">
      <xsd:complexType>
        <xsd:sequence>
          <xsd:element name="documentManagement">
            <xsd:complexType>
              <xsd:all>
                <xsd:element ref="ns2:c2aae540edc840ac85a95d0cdccae6b9" minOccurs="0"/>
                <xsd:element ref="ns2:TaxCatchAll" minOccurs="0"/>
                <xsd:element ref="ns2:TaxCatchAllLabel" minOccurs="0"/>
                <xsd:element ref="ns2:o8284724205e42c8a56db8ff4f329779" minOccurs="0"/>
                <xsd:element ref="ns2:l6cda3eed2d14ea999d67a7bcceae600"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5ab05-f7f8-4724-b49f-1e8bf2acbb1d" elementFormDefault="qualified">
    <xsd:import namespace="http://schemas.microsoft.com/office/2006/documentManagement/types"/>
    <xsd:import namespace="http://schemas.microsoft.com/office/infopath/2007/PartnerControls"/>
    <xsd:element name="c2aae540edc840ac85a95d0cdccae6b9" ma:index="8" ma:taxonomy="true" ma:internalName="c2aae540edc840ac85a95d0cdccae6b9" ma:taxonomyFieldName="Dokumenttype" ma:displayName="Dokumenttype" ma:default="" ma:fieldId="{c2aae540-edc8-40ac-85a9-5d0cdccae6b9}" ma:sspId="2f595842-50c2-439a-8ba8-4650dfbf24bb" ma:termSetId="a4d67b3d-a4fb-4274-9efc-3bca3db69fa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43cc781-9448-439e-85ea-ecaac893933e}" ma:internalName="TaxCatchAll" ma:readOnly="false" ma:showField="CatchAllData"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3cc781-9448-439e-85ea-ecaac893933e}" ma:internalName="TaxCatchAllLabel" ma:readOnly="false" ma:showField="CatchAllDataLabel" ma:web="f2ec8d3c-c12f-424c-926f-1f8ebca512fc">
      <xsd:complexType>
        <xsd:complexContent>
          <xsd:extension base="dms:MultiChoiceLookup">
            <xsd:sequence>
              <xsd:element name="Value" type="dms:Lookup" maxOccurs="unbounded" minOccurs="0" nillable="true"/>
            </xsd:sequence>
          </xsd:extension>
        </xsd:complexContent>
      </xsd:complexType>
    </xsd:element>
    <xsd:element name="o8284724205e42c8a56db8ff4f329779" ma:index="12" ma:taxonomy="true" ma:internalName="o8284724205e42c8a56db8ff4f329779" ma:taxonomyFieldName="DiciplineArea" ma:displayName="Fagområde" ma:readOnly="false" ma:default="" ma:fieldId="{88284724-205e-42c8-a56d-b8ff4f329779}" ma:taxonomyMulti="true" ma:sspId="2f595842-50c2-439a-8ba8-4650dfbf24bb" ma:termSetId="d9e37eea-9449-4b77-afa9-0f05c002d48b" ma:anchorId="00000000-0000-0000-0000-000000000000" ma:open="false" ma:isKeyword="false">
      <xsd:complexType>
        <xsd:sequence>
          <xsd:element ref="pc:Terms" minOccurs="0" maxOccurs="1"/>
        </xsd:sequence>
      </xsd:complexType>
    </xsd:element>
    <xsd:element name="l6cda3eed2d14ea999d67a7bcceae600" ma:index="14" nillable="true" ma:taxonomy="true" ma:internalName="l6cda3eed2d14ea999d67a7bcceae600" ma:taxonomyFieldName="Organisasjon" ma:displayName="Organisasjon" ma:readOnly="false" ma:default="43;#Regelverk og internasjonalt arbeid|579ac3cd-d96a-40dd-9ad3-ecdbcf004da7" ma:fieldId="{56cda3ee-d2d1-4ea9-99d6-7a7bcceae600}" ma:sspId="2f595842-50c2-439a-8ba8-4650dfbf24bb" ma:termSetId="be71d145-eb2f-4372-8d5c-c74b112189f5"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rganisasjonsnøkkelord" ma:fieldId="{23f27201-bee3-471e-b2e7-b64fd8b7ca38}" ma:taxonomyMulti="true" ma:sspId="2f595842-50c2-439a-8ba8-4650dfbf24b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c8d3c-c12f-424c-926f-1f8ebca512fc" elementFormDefault="qualified">
    <xsd:import namespace="http://schemas.microsoft.com/office/2006/documentManagement/types"/>
    <xsd:import namespace="http://schemas.microsoft.com/office/infopath/2007/PartnerControls"/>
    <xsd:element name="_dlc_DocId" ma:index="18" nillable="true" ma:displayName="Dokument-ID-verdi" ma:description="Verdien for dokument-IDen som er tilordnet elementet." ma:internalName="_dlc_DocId" ma:readOnly="true">
      <xsd:simpleType>
        <xsd:restriction base="dms:Text"/>
      </xsd:simpleType>
    </xsd:element>
    <xsd:element name="_dlc_DocIdUrl" ma:index="1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6cda3eed2d14ea999d67a7bcceae600 xmlns="1065ab05-f7f8-4724-b49f-1e8bf2acbb1d">
      <Terms xmlns="http://schemas.microsoft.com/office/infopath/2007/PartnerControls">
        <TermInfo xmlns="http://schemas.microsoft.com/office/infopath/2007/PartnerControls">
          <TermName xmlns="http://schemas.microsoft.com/office/infopath/2007/PartnerControls">Regelverk og internasjonalt arbeid</TermName>
          <TermId xmlns="http://schemas.microsoft.com/office/infopath/2007/PartnerControls">579ac3cd-d96a-40dd-9ad3-ecdbcf004da7</TermId>
        </TermInfo>
      </Terms>
    </l6cda3eed2d14ea999d67a7bcceae600>
    <TaxCatchAll xmlns="1065ab05-f7f8-4724-b49f-1e8bf2acbb1d">
      <Value>75</Value>
      <Value>240</Value>
      <Value>43</Value>
    </TaxCatchAll>
    <TaxCatchAllLabel xmlns="1065ab05-f7f8-4724-b49f-1e8bf2acbb1d"/>
    <c2aae540edc840ac85a95d0cdccae6b9 xmlns="1065ab05-f7f8-4724-b49f-1e8bf2acbb1d">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22ad557f-b9fa-45ba-8d6f-27dfb38a65f0</TermId>
        </TermInfo>
      </Terms>
    </c2aae540edc840ac85a95d0cdccae6b9>
    <o8284724205e42c8a56db8ff4f329779 xmlns="1065ab05-f7f8-4724-b49f-1e8bf2acbb1d">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2cde9afc-3139-47d7-a23a-7d87f413c98c</TermId>
        </TermInfo>
      </Terms>
    </o8284724205e42c8a56db8ff4f329779>
    <TaxKeywordTaxHTField xmlns="1065ab05-f7f8-4724-b49f-1e8bf2acbb1d">
      <Terms xmlns="http://schemas.microsoft.com/office/infopath/2007/PartnerControls"/>
    </TaxKeywordTaxHTField>
    <_dlc_DocId xmlns="f2ec8d3c-c12f-424c-926f-1f8ebca512fc">FJPNMAMED2PC-2121666478-300</_dlc_DocId>
    <_dlc_DocIdUrl xmlns="f2ec8d3c-c12f-424c-926f-1f8ebca512fc">
      <Url>https://sps.sjofartsdir.no/avdeling/RA/_layouts/15/DocIdRedir.aspx?ID=FJPNMAMED2PC-2121666478-300</Url>
      <Description>FJPNMAMED2PC-2121666478-300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658FB4-7F6B-4BDE-ACCB-3C0DF1D67C5B}">
  <ds:schemaRefs>
    <ds:schemaRef ds:uri="Microsoft.SharePoint.Taxonomy.ContentTypeSync"/>
  </ds:schemaRefs>
</ds:datastoreItem>
</file>

<file path=customXml/itemProps2.xml><?xml version="1.0" encoding="utf-8"?>
<ds:datastoreItem xmlns:ds="http://schemas.openxmlformats.org/officeDocument/2006/customXml" ds:itemID="{A5162F09-B834-4309-A9C8-08B281362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5ab05-f7f8-4724-b49f-1e8bf2acbb1d"/>
    <ds:schemaRef ds:uri="f2ec8d3c-c12f-424c-926f-1f8ebca51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E14B82-642D-4177-B90D-0163E10FFC94}">
  <ds:schemaRefs>
    <ds:schemaRef ds:uri="http://purl.org/dc/elements/1.1/"/>
    <ds:schemaRef ds:uri="http://schemas.microsoft.com/office/2006/metadata/properties"/>
    <ds:schemaRef ds:uri="http://schemas.openxmlformats.org/package/2006/metadata/core-properties"/>
    <ds:schemaRef ds:uri="f2ec8d3c-c12f-424c-926f-1f8ebca512fc"/>
    <ds:schemaRef ds:uri="http://purl.org/dc/terms/"/>
    <ds:schemaRef ds:uri="http://schemas.microsoft.com/office/2006/documentManagement/types"/>
    <ds:schemaRef ds:uri="1065ab05-f7f8-4724-b49f-1e8bf2acbb1d"/>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EEF64F3-0CC9-4901-AB1B-37D304F23943}">
  <ds:schemaRefs>
    <ds:schemaRef ds:uri="http://schemas.microsoft.com/sharepoint/v3/contenttype/forms"/>
  </ds:schemaRefs>
</ds:datastoreItem>
</file>

<file path=customXml/itemProps5.xml><?xml version="1.0" encoding="utf-8"?>
<ds:datastoreItem xmlns:ds="http://schemas.openxmlformats.org/officeDocument/2006/customXml" ds:itemID="{04C4076B-FC14-4C21-A6CF-9DBEEF08AB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4030</Characters>
  <Application>Microsoft Office Word</Application>
  <DocSecurity>4</DocSecurity>
  <Lines>33</Lines>
  <Paragraphs>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Forskriftstekst - skjerping av kloakkregler</vt:lpstr>
      <vt:lpstr>Forskriftstekst - skjerping av kloakkregler</vt:lpstr>
    </vt:vector>
  </TitlesOfParts>
  <Company>Sjøfartsdirektoratet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Forskriftstekst - skjerping av kloakkregler</dc:title>
  <dc:subject/>
  <dc:creator>Henrikke Roald</dc:creator>
  <cp:keywords/>
  <dc:description/>
  <cp:lastModifiedBy>Everett, Christina</cp:lastModifiedBy>
  <cp:revision>2</cp:revision>
  <cp:lastPrinted>2019-06-27T06:30:00Z</cp:lastPrinted>
  <dcterms:created xsi:type="dcterms:W3CDTF">2019-10-24T12:12:00Z</dcterms:created>
  <dcterms:modified xsi:type="dcterms:W3CDTF">2019-10-24T12:12:00Z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0x0101008ABC6F4325FBF146B7577C860B30D3600100BAD5D04FC15F444985E53EC019943CB5</vt:lpwstr>
  </property>
  <property fmtid="{D5CDD505-2E9C-101B-9397-08002B2CF9AE}" pid="3" name="_dlc_DocIdItemGuid">
    <vt:lpwstr>ea575082-d6b3-481d-b8c3-46bd3566654e</vt:lpwstr>
  </property>
  <property fmtid="{D5CDD505-2E9C-101B-9397-08002B2CF9AE}" pid="4" name="Dokumenttype">
    <vt:lpwstr>240;#Arbeidsdokument|22ad557f-b9fa-45ba-8d6f-27dfb38a65f0</vt:lpwstr>
  </property>
  <property fmtid="{D5CDD505-2E9C-101B-9397-08002B2CF9AE}" pid="5" name="Organisasjon">
    <vt:lpwstr>43;#Regelverk og internasjonalt arbeid|579ac3cd-d96a-40dd-9ad3-ecdbcf004da7</vt:lpwstr>
  </property>
  <property fmtid="{D5CDD505-2E9C-101B-9397-08002B2CF9AE}" pid="6" name="TaxKeyword">
    <vt:lpwstr/>
  </property>
  <property fmtid="{D5CDD505-2E9C-101B-9397-08002B2CF9AE}" pid="7" name="DiciplineArea">
    <vt:lpwstr>75;#Regelverk|2cde9afc-3139-47d7-a23a-7d87f413c98c</vt:lpwstr>
  </property>
  <property fmtid="{D5CDD505-2E9C-101B-9397-08002B2CF9AE}" pid="8" name="CheckInType">
    <vt:lpwstr/>
  </property>
  <property fmtid="{D5CDD505-2E9C-101B-9397-08002B2CF9AE}" pid="9" name="CheckInDocForm">
    <vt:lpwstr>http://sdir-ark-app01/ephorte4Web/shared/aspx/Default/SPCheckinDoc.aspx</vt:lpwstr>
  </property>
  <property fmtid="{D5CDD505-2E9C-101B-9397-08002B2CF9AE}" pid="10" name="DokType">
    <vt:lpwstr>U</vt:lpwstr>
  </property>
  <property fmtid="{D5CDD505-2E9C-101B-9397-08002B2CF9AE}" pid="11" name="DokID">
    <vt:i4>2016456543</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https%3a%2f%2fsps.sjofartsdir.no%2f_layouts%2fGecko.Ephorte.SharePoint_Base%2fCompleteDocument.aspx</vt:lpwstr>
  </property>
  <property fmtid="{D5CDD505-2E9C-101B-9397-08002B2CF9AE}" pid="16" name="WindowName">
    <vt:lpwstr>EphorteFrame</vt:lpwstr>
  </property>
  <property fmtid="{D5CDD505-2E9C-101B-9397-08002B2CF9AE}" pid="17" name="FileName">
    <vt:lpwstr>%5c%5cSDIR-FS02.SJOFARTSDIR.LOCAL%5cPRIVATE%24%5cHERO%5cEPHORTE%5c5161648.DOCX</vt:lpwstr>
  </property>
  <property fmtid="{D5CDD505-2E9C-101B-9397-08002B2CF9AE}" pid="18" name="LinkId">
    <vt:i4>2014475885</vt:i4>
  </property>
</Properties>
</file>