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7B" w:rsidRPr="00865141" w:rsidRDefault="002A187B" w:rsidP="002A187B">
      <w:pPr>
        <w:pStyle w:val="ManualHeading1"/>
        <w:numPr>
          <w:ilvl w:val="0"/>
          <w:numId w:val="0"/>
        </w:numPr>
        <w:ind w:left="851" w:hanging="851"/>
        <w:jc w:val="center"/>
        <w:rPr>
          <w:lang w:val="en-GB"/>
        </w:rPr>
      </w:pPr>
      <w:bookmarkStart w:id="0" w:name="_GoBack"/>
      <w:bookmarkEnd w:id="0"/>
      <w:r w:rsidRPr="00865141">
        <w:rPr>
          <w:i/>
          <w:iCs/>
          <w:lang w:val="en-GB"/>
        </w:rPr>
        <w:t>PART III.13.E</w:t>
      </w:r>
    </w:p>
    <w:p w:rsidR="002A187B" w:rsidRPr="00865141" w:rsidRDefault="002A187B" w:rsidP="002A187B">
      <w:pPr>
        <w:pStyle w:val="ManualHeading2"/>
        <w:numPr>
          <w:ilvl w:val="0"/>
          <w:numId w:val="0"/>
        </w:numPr>
        <w:ind w:left="851" w:hanging="851"/>
        <w:jc w:val="center"/>
        <w:rPr>
          <w:lang w:val="en-GB"/>
        </w:rPr>
      </w:pPr>
      <w:r w:rsidRPr="00865141">
        <w:rPr>
          <w:i/>
          <w:iCs/>
          <w:lang w:val="en-GB"/>
        </w:rPr>
        <w:t>Supplementary Information Sheet on aid for maritime transport</w:t>
      </w:r>
    </w:p>
    <w:p w:rsidR="002A187B" w:rsidRPr="00865141" w:rsidRDefault="002A187B" w:rsidP="002A187B">
      <w:pPr>
        <w:pStyle w:val="Point0"/>
        <w:ind w:left="0" w:firstLine="0"/>
        <w:rPr>
          <w:lang w:val="en-GB"/>
        </w:rPr>
      </w:pPr>
      <w:r w:rsidRPr="00865141">
        <w:rPr>
          <w:i/>
          <w:iCs/>
          <w:lang w:val="en-GB"/>
        </w:rPr>
        <w:t>It is recommended that this supplementary information sheet is completed, in addition to the “General information” form in Part I, for the notification of any measure covered by the Authority´</w:t>
      </w:r>
      <w:proofErr w:type="gramStart"/>
      <w:r w:rsidRPr="00865141">
        <w:rPr>
          <w:i/>
          <w:iCs/>
          <w:lang w:val="en-GB"/>
        </w:rPr>
        <w:t>s  guidelines</w:t>
      </w:r>
      <w:proofErr w:type="gramEnd"/>
      <w:r w:rsidRPr="00865141">
        <w:rPr>
          <w:i/>
          <w:iCs/>
          <w:lang w:val="en-GB"/>
        </w:rPr>
        <w:t xml:space="preserve"> on State aid to maritime transport</w:t>
      </w:r>
      <w:r w:rsidRPr="00865141">
        <w:rPr>
          <w:rStyle w:val="FootnoteReference"/>
          <w:lang w:val="en-GB"/>
        </w:rPr>
        <w:footnoteReference w:id="1"/>
      </w:r>
      <w:r w:rsidRPr="00865141">
        <w:rPr>
          <w:i/>
          <w:iCs/>
          <w:lang w:val="en-GB"/>
        </w:rPr>
        <w:t>(“the Guidelines”).</w:t>
      </w:r>
    </w:p>
    <w:p w:rsidR="002A187B" w:rsidRPr="00865141" w:rsidRDefault="002A187B" w:rsidP="002A187B">
      <w:pPr>
        <w:pStyle w:val="ManualHeading2"/>
        <w:numPr>
          <w:ilvl w:val="0"/>
          <w:numId w:val="0"/>
        </w:numPr>
        <w:ind w:left="851" w:hanging="851"/>
        <w:rPr>
          <w:lang w:val="en-GB"/>
        </w:rPr>
      </w:pPr>
      <w:r w:rsidRPr="00865141">
        <w:rPr>
          <w:lang w:val="en-GB"/>
        </w:rPr>
        <w:t xml:space="preserve">1. </w:t>
      </w:r>
      <w:r w:rsidRPr="00865141">
        <w:rPr>
          <w:i/>
          <w:iCs/>
          <w:lang w:val="en-GB"/>
        </w:rPr>
        <w:t>Information on the type of scheme</w:t>
      </w:r>
    </w:p>
    <w:p w:rsidR="002A187B" w:rsidRPr="00865141" w:rsidRDefault="002A187B" w:rsidP="002A187B">
      <w:pPr>
        <w:pStyle w:val="Point0"/>
        <w:rPr>
          <w:lang w:val="en-GB"/>
        </w:rPr>
      </w:pPr>
      <w:r w:rsidRPr="00865141">
        <w:rPr>
          <w:lang w:val="en-GB"/>
        </w:rPr>
        <w:tab/>
        <w:t>Does the scheme constitute or include: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(a) </w:t>
      </w:r>
      <w:sdt>
        <w:sdtPr>
          <w:rPr>
            <w:lang w:val="en-GB"/>
          </w:rPr>
          <w:id w:val="42639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C7">
            <w:rPr>
              <w:rFonts w:ascii="MS Gothic" w:eastAsia="MS Gothic" w:hint="eastAsia"/>
              <w:lang w:val="en-GB"/>
            </w:rPr>
            <w:t>☐</w:t>
          </w:r>
        </w:sdtContent>
      </w:sdt>
      <w:r w:rsidRPr="00865141">
        <w:rPr>
          <w:lang w:val="en-GB"/>
        </w:rPr>
        <w:t xml:space="preserve"> Tonnage Tax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(b) </w:t>
      </w:r>
      <w:sdt>
        <w:sdtPr>
          <w:rPr>
            <w:lang w:val="en-GB"/>
          </w:rPr>
          <w:id w:val="-66886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65141">
        <w:rPr>
          <w:lang w:val="en-GB"/>
        </w:rPr>
        <w:t xml:space="preserve"> a reduction in social contributions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(c) </w:t>
      </w:r>
      <w:sdt>
        <w:sdtPr>
          <w:rPr>
            <w:lang w:val="en-GB"/>
          </w:rPr>
          <w:id w:val="100278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65141">
        <w:rPr>
          <w:lang w:val="en-GB"/>
        </w:rPr>
        <w:t xml:space="preserve"> a reduction in local taxes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(d) </w:t>
      </w:r>
      <w:sdt>
        <w:sdtPr>
          <w:rPr>
            <w:lang w:val="en-GB"/>
          </w:rPr>
          <w:id w:val="13638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65141">
        <w:rPr>
          <w:lang w:val="en-GB"/>
        </w:rPr>
        <w:t xml:space="preserve"> a reduction in registration fees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(e) </w:t>
      </w:r>
      <w:sdt>
        <w:sdtPr>
          <w:rPr>
            <w:lang w:val="en-GB"/>
          </w:rPr>
          <w:id w:val="110069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65141">
        <w:rPr>
          <w:lang w:val="en-GB"/>
        </w:rPr>
        <w:t xml:space="preserve"> aids for training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(f) </w:t>
      </w:r>
      <w:sdt>
        <w:sdtPr>
          <w:rPr>
            <w:lang w:val="en-GB"/>
          </w:rPr>
          <w:id w:val="5012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65141">
        <w:rPr>
          <w:lang w:val="en-GB"/>
        </w:rPr>
        <w:t xml:space="preserve"> aids for transferring </w:t>
      </w:r>
      <w:proofErr w:type="gramStart"/>
      <w:r w:rsidRPr="00865141">
        <w:rPr>
          <w:lang w:val="en-GB"/>
        </w:rPr>
        <w:t>lorries</w:t>
      </w:r>
      <w:proofErr w:type="gramEnd"/>
      <w:r w:rsidRPr="00865141">
        <w:rPr>
          <w:lang w:val="en-GB"/>
        </w:rPr>
        <w:t xml:space="preserve"> from roads to sea ways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(g) </w:t>
      </w:r>
      <w:sdt>
        <w:sdtPr>
          <w:rPr>
            <w:lang w:val="en-GB"/>
          </w:rPr>
          <w:id w:val="165008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65141">
        <w:rPr>
          <w:lang w:val="en-GB"/>
        </w:rPr>
        <w:t xml:space="preserve"> a public service contract or award procedure thereof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(h) </w:t>
      </w:r>
      <w:sdt>
        <w:sdtPr>
          <w:rPr>
            <w:lang w:val="en-GB"/>
          </w:rPr>
          <w:id w:val="-104545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65141">
        <w:rPr>
          <w:lang w:val="en-GB"/>
        </w:rPr>
        <w:t xml:space="preserve"> aids of social character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(</w:t>
      </w:r>
      <w:proofErr w:type="spellStart"/>
      <w:r w:rsidRPr="00865141">
        <w:rPr>
          <w:lang w:val="en-GB"/>
        </w:rPr>
        <w:t>i</w:t>
      </w:r>
      <w:proofErr w:type="spellEnd"/>
      <w:r w:rsidRPr="00865141">
        <w:rPr>
          <w:lang w:val="en-GB"/>
        </w:rPr>
        <w:t xml:space="preserve">) </w:t>
      </w:r>
      <w:sdt>
        <w:sdtPr>
          <w:rPr>
            <w:lang w:val="en-GB"/>
          </w:rPr>
          <w:id w:val="181267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865141">
        <w:rPr>
          <w:lang w:val="en-GB"/>
        </w:rPr>
        <w:t xml:space="preserve"> other, please describe: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527447696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2A187B" w:rsidP="002A187B">
      <w:pPr>
        <w:pStyle w:val="ManualHeading2"/>
        <w:numPr>
          <w:ilvl w:val="0"/>
          <w:numId w:val="0"/>
        </w:numPr>
        <w:ind w:left="851" w:hanging="851"/>
        <w:rPr>
          <w:lang w:val="en-GB"/>
        </w:rPr>
      </w:pPr>
      <w:r w:rsidRPr="00865141">
        <w:rPr>
          <w:lang w:val="en-GB"/>
        </w:rPr>
        <w:t xml:space="preserve">2. </w:t>
      </w:r>
      <w:r w:rsidRPr="00865141">
        <w:rPr>
          <w:i/>
          <w:iCs/>
          <w:lang w:val="en-GB"/>
        </w:rPr>
        <w:t>Information on eligibility</w:t>
      </w:r>
    </w:p>
    <w:p w:rsidR="002A187B" w:rsidRPr="00865141" w:rsidRDefault="002A187B" w:rsidP="002A187B">
      <w:pPr>
        <w:pStyle w:val="Point0"/>
        <w:rPr>
          <w:lang w:val="en-GB"/>
        </w:rPr>
      </w:pPr>
      <w:r w:rsidRPr="00865141">
        <w:rPr>
          <w:lang w:val="en-GB"/>
        </w:rPr>
        <w:tab/>
        <w:t>For categories (a) (b) (c) (d) (e) (f) under point 1, please reply to 2.2 to 2.7: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2.1. What are the eligibility criteria for companies?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880436524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2.2. What are the eligibility criteria for boats? In particular, is there an obligation in relation to the flag? What are the flag-related obligations for the fleet of companies entering tonnage taxation scheme after 31 March 2004? Do flag-related obligations apply to the entire fleet of the beneficiary company or only owned fleet and fleet chartered in on bare-boat terms?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121155946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2.3. What are the eligibility conditions for the fleet chartered out on bare-boat terms?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906030823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lastRenderedPageBreak/>
        <w:tab/>
        <w:t>2.4. What are the eligibility conditions for time- or voyage-chartered fleet?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1868522289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2.5. Where appropriate, what are the eligibility criteria for seafarers?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599222508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2.6. Describe the list of eligible activities. In particular, does the regime concern:</w:t>
      </w:r>
    </w:p>
    <w:tbl>
      <w:tblPr>
        <w:tblW w:w="0" w:type="auto"/>
        <w:tblInd w:w="2507" w:type="dxa"/>
        <w:tblLayout w:type="fixed"/>
        <w:tblLook w:val="0000" w:firstRow="0" w:lastRow="0" w:firstColumn="0" w:lastColumn="0" w:noHBand="0" w:noVBand="0"/>
      </w:tblPr>
      <w:tblGrid>
        <w:gridCol w:w="1879"/>
        <w:gridCol w:w="2393"/>
      </w:tblGrid>
      <w:tr w:rsidR="002A187B" w:rsidRPr="00865141" w:rsidTr="000E704B"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87B" w:rsidRPr="00865141" w:rsidRDefault="00556E2E" w:rsidP="000E704B">
            <w:pPr>
              <w:pStyle w:val="NormalLef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188959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C7"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="002A187B" w:rsidRPr="00865141">
              <w:rPr>
                <w:lang w:val="en-GB"/>
              </w:rPr>
              <w:t xml:space="preserve"> </w:t>
            </w:r>
            <w:proofErr w:type="gramStart"/>
            <w:r w:rsidR="002A187B" w:rsidRPr="00865141">
              <w:rPr>
                <w:lang w:val="en-GB"/>
              </w:rPr>
              <w:t>tug</w:t>
            </w:r>
            <w:proofErr w:type="gramEnd"/>
            <w:r w:rsidR="002A187B" w:rsidRPr="00865141">
              <w:rPr>
                <w:lang w:val="en-GB"/>
              </w:rPr>
              <w:t xml:space="preserve"> activities?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87B" w:rsidRPr="00865141" w:rsidRDefault="00556E2E" w:rsidP="000E704B">
            <w:pPr>
              <w:pStyle w:val="NormalLeft"/>
              <w:rPr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lang w:val="en-GB"/>
                </w:rPr>
                <w:id w:val="-18594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BC7"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="002A187B" w:rsidRPr="00865141">
              <w:rPr>
                <w:lang w:val="en-GB"/>
              </w:rPr>
              <w:t xml:space="preserve"> </w:t>
            </w:r>
            <w:proofErr w:type="gramStart"/>
            <w:r w:rsidR="002A187B" w:rsidRPr="00865141">
              <w:rPr>
                <w:lang w:val="en-GB"/>
              </w:rPr>
              <w:t>dredging</w:t>
            </w:r>
            <w:proofErr w:type="gramEnd"/>
            <w:r w:rsidR="002A187B" w:rsidRPr="00865141">
              <w:rPr>
                <w:lang w:val="en-GB"/>
              </w:rPr>
              <w:t xml:space="preserve"> activities?</w:t>
            </w:r>
          </w:p>
        </w:tc>
      </w:tr>
    </w:tbl>
    <w:p w:rsidR="002A187B" w:rsidRPr="00865141" w:rsidRDefault="002A187B" w:rsidP="002A187B"/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More generally, are shipping activities other than maritime transport of goods and passengers covered by the aid </w:t>
      </w:r>
      <w:proofErr w:type="gramStart"/>
      <w:r w:rsidRPr="00865141">
        <w:rPr>
          <w:lang w:val="en-GB"/>
        </w:rPr>
        <w:t>scheme?</w:t>
      </w:r>
      <w:proofErr w:type="gramEnd"/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275178024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2.7. What are the ring-fence measures to avoid </w:t>
      </w:r>
      <w:proofErr w:type="gramStart"/>
      <w:r w:rsidRPr="00865141">
        <w:rPr>
          <w:lang w:val="en-GB"/>
        </w:rPr>
        <w:t>spill-over</w:t>
      </w:r>
      <w:proofErr w:type="gramEnd"/>
      <w:r w:rsidRPr="00865141">
        <w:rPr>
          <w:lang w:val="en-GB"/>
        </w:rPr>
        <w:t xml:space="preserve"> into other activities of the same company?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809363534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0"/>
        <w:rPr>
          <w:lang w:val="en-GB"/>
        </w:rPr>
      </w:pPr>
      <w:r w:rsidRPr="00865141">
        <w:rPr>
          <w:lang w:val="en-GB"/>
        </w:rPr>
        <w:tab/>
        <w:t>For category (g) under point 1: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2.8. What are the public services obligations, the method for calculating the compensations, the different offers submitted in the tender and the reasons for the choice of the designated company?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964765093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0"/>
        <w:rPr>
          <w:lang w:val="en-GB"/>
        </w:rPr>
      </w:pPr>
      <w:r w:rsidRPr="00865141">
        <w:rPr>
          <w:lang w:val="en-GB"/>
        </w:rPr>
        <w:tab/>
        <w:t>For category (h) under point 1: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2.9. What are the routes concerned, the populations of users concerned and the conditions attached to the award of individual grants?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229620852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ManualHeading2"/>
        <w:numPr>
          <w:ilvl w:val="0"/>
          <w:numId w:val="0"/>
        </w:numPr>
        <w:ind w:left="851" w:hanging="851"/>
        <w:rPr>
          <w:lang w:val="en-GB"/>
        </w:rPr>
      </w:pPr>
      <w:r w:rsidRPr="00865141">
        <w:rPr>
          <w:lang w:val="en-GB"/>
        </w:rPr>
        <w:t xml:space="preserve">3. </w:t>
      </w:r>
      <w:r w:rsidRPr="00865141">
        <w:rPr>
          <w:i/>
          <w:iCs/>
          <w:lang w:val="en-GB"/>
        </w:rPr>
        <w:t>Information on aid intensity</w:t>
      </w:r>
    </w:p>
    <w:p w:rsidR="002A187B" w:rsidRPr="00865141" w:rsidRDefault="002A187B" w:rsidP="002A187B">
      <w:pPr>
        <w:pStyle w:val="Point0"/>
        <w:rPr>
          <w:lang w:val="en-GB"/>
        </w:rPr>
      </w:pPr>
      <w:r w:rsidRPr="00865141">
        <w:rPr>
          <w:lang w:val="en-GB"/>
        </w:rPr>
        <w:tab/>
        <w:t xml:space="preserve">3.1. What mechanisms are in place to ensure the respect of the aid ceiling specified in Chapter 11 of the Guidelines? How </w:t>
      </w:r>
      <w:proofErr w:type="gramStart"/>
      <w:r w:rsidRPr="00865141">
        <w:rPr>
          <w:lang w:val="en-GB"/>
        </w:rPr>
        <w:t>are the relevant records kept</w:t>
      </w:r>
      <w:proofErr w:type="gramEnd"/>
      <w:r w:rsidRPr="00865141">
        <w:rPr>
          <w:lang w:val="en-GB"/>
        </w:rPr>
        <w:t>?</w:t>
      </w:r>
    </w:p>
    <w:p w:rsidR="002A187B" w:rsidRPr="00865141" w:rsidRDefault="002A187B" w:rsidP="002A187B">
      <w:pPr>
        <w:pStyle w:val="Point0"/>
        <w:rPr>
          <w:lang w:val="en-GB"/>
        </w:rPr>
      </w:pPr>
      <w:r w:rsidRPr="00865141">
        <w:rPr>
          <w:lang w:val="en-GB"/>
        </w:rPr>
        <w:tab/>
      </w:r>
      <w:sdt>
        <w:sdtPr>
          <w:rPr>
            <w:lang w:val="en-GB"/>
          </w:rPr>
          <w:id w:val="-1704554863"/>
          <w:placeholder>
            <w:docPart w:val="DefaultPlaceholder_1081868574"/>
          </w:placeholder>
          <w:showingPlcHdr/>
        </w:sdtPr>
        <w:sdtEndPr/>
        <w:sdtContent>
          <w:r w:rsidR="00787BC7"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0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0"/>
        <w:rPr>
          <w:lang w:val="en-GB"/>
        </w:rPr>
      </w:pPr>
      <w:r w:rsidRPr="00865141">
        <w:rPr>
          <w:lang w:val="en-GB"/>
        </w:rPr>
        <w:tab/>
        <w:t>For category (a) under point 1, please reply to 3.2 to 3.7: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3.2. What are the rates used to calculate the taxable income per 100 NT?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  <w:t xml:space="preserve">Up to 1000 NT… </w:t>
      </w:r>
      <w:sdt>
        <w:sdtPr>
          <w:rPr>
            <w:lang w:val="en-GB"/>
          </w:rPr>
          <w:id w:val="-1258591194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lastRenderedPageBreak/>
        <w:tab/>
        <w:t>Between 1001 and 10000 NT…</w:t>
      </w:r>
      <w:sdt>
        <w:sdtPr>
          <w:rPr>
            <w:lang w:val="en-GB"/>
          </w:rPr>
          <w:id w:val="1422759008"/>
          <w:placeholder>
            <w:docPart w:val="DefaultPlaceholder_1081868574"/>
          </w:placeholder>
          <w:showingPlcHdr/>
        </w:sdtPr>
        <w:sdtEndPr/>
        <w:sdtContent>
          <w:r w:rsidR="00787BC7"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Between 10001 and 20000 NT…</w:t>
      </w:r>
      <w:sdt>
        <w:sdtPr>
          <w:rPr>
            <w:lang w:val="en-GB"/>
          </w:rPr>
          <w:id w:val="-1820256321"/>
          <w:placeholder>
            <w:docPart w:val="DefaultPlaceholder_1081868574"/>
          </w:placeholder>
          <w:showingPlcHdr/>
        </w:sdtPr>
        <w:sdtEndPr/>
        <w:sdtContent>
          <w:r w:rsidR="00787BC7"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More than 20001 NT…</w:t>
      </w:r>
      <w:r w:rsidR="00787BC7">
        <w:rPr>
          <w:lang w:val="en-GB"/>
        </w:rPr>
        <w:t xml:space="preserve"> </w:t>
      </w:r>
      <w:sdt>
        <w:sdtPr>
          <w:rPr>
            <w:lang w:val="en-GB"/>
          </w:rPr>
          <w:id w:val="1365244235"/>
          <w:placeholder>
            <w:docPart w:val="DefaultPlaceholder_1081868574"/>
          </w:placeholder>
          <w:showingPlcHdr/>
        </w:sdtPr>
        <w:sdtEndPr/>
        <w:sdtContent>
          <w:r w:rsidR="00787BC7"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3.3. Are companies obliged to set up separate accounts when operating both eligible and non-eligible activities?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659738445"/>
          <w:placeholder>
            <w:docPart w:val="DefaultPlaceholder_1081868574"/>
          </w:placeholder>
          <w:showingPlcHdr/>
        </w:sdtPr>
        <w:sdtEndPr/>
        <w:sdtContent>
          <w:r w:rsidRPr="00DB51DD">
            <w:rPr>
              <w:rStyle w:val="PlaceholderText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3.4. What treatment </w:t>
      </w:r>
      <w:proofErr w:type="gramStart"/>
      <w:r w:rsidRPr="00865141">
        <w:rPr>
          <w:lang w:val="en-GB"/>
        </w:rPr>
        <w:t>is applied</w:t>
      </w:r>
      <w:proofErr w:type="gramEnd"/>
      <w:r w:rsidRPr="00865141">
        <w:rPr>
          <w:lang w:val="en-GB"/>
        </w:rPr>
        <w:t xml:space="preserve"> to groups of companies and intra-group transactions?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631137725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3.5. To what extent </w:t>
      </w:r>
      <w:proofErr w:type="gramStart"/>
      <w:r w:rsidRPr="00865141">
        <w:rPr>
          <w:lang w:val="en-GB"/>
        </w:rPr>
        <w:t>are the revenues from ancillary activities covered</w:t>
      </w:r>
      <w:proofErr w:type="gramEnd"/>
      <w:r w:rsidRPr="00865141">
        <w:rPr>
          <w:lang w:val="en-GB"/>
        </w:rPr>
        <w:t xml:space="preserve"> by tonnage tax scheme?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320995386"/>
          <w:placeholder>
            <w:docPart w:val="DefaultPlaceholder_1081868574"/>
          </w:placeholder>
          <w:showingPlcHdr/>
        </w:sdtPr>
        <w:sdtEndPr/>
        <w:sdtContent>
          <w:r w:rsidRPr="00DB51DD">
            <w:rPr>
              <w:rStyle w:val="PlaceholderText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3.6. Are there special taxation rules for ships entering tonnage taxation in a situation when their market value exceeds their tax value?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745526793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3.7. Is the normal tax level under EFTA States' general tax rules applied to remuneration of directors and shareholders of the shipping companies?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311868514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0"/>
        <w:rPr>
          <w:lang w:val="en-GB"/>
        </w:rPr>
      </w:pPr>
      <w:r w:rsidRPr="00865141">
        <w:rPr>
          <w:lang w:val="en-GB"/>
        </w:rPr>
        <w:tab/>
        <w:t>For categories (b) (c) and (d) under point 1, please reply to 3.8 to 3.10:</w:t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 xml:space="preserve">3.8. What is the aid intensity in terms of percentage of the social/fiscal contributions or of the tax or fees that the seafarer or the </w:t>
      </w:r>
      <w:proofErr w:type="spellStart"/>
      <w:r w:rsidRPr="00865141">
        <w:rPr>
          <w:lang w:val="en-GB"/>
        </w:rPr>
        <w:t>shipowner</w:t>
      </w:r>
      <w:proofErr w:type="spellEnd"/>
      <w:r w:rsidRPr="00865141">
        <w:rPr>
          <w:lang w:val="en-GB"/>
        </w:rPr>
        <w:t xml:space="preserve"> should have normally been </w:t>
      </w:r>
      <w:proofErr w:type="gramStart"/>
      <w:r w:rsidRPr="00865141">
        <w:rPr>
          <w:lang w:val="en-GB"/>
        </w:rPr>
        <w:t>subject to</w:t>
      </w:r>
      <w:proofErr w:type="gramEnd"/>
      <w:r w:rsidRPr="00865141">
        <w:rPr>
          <w:lang w:val="en-GB"/>
        </w:rPr>
        <w:t>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420296809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</w:r>
      <w:proofErr w:type="gramStart"/>
      <w:r w:rsidRPr="00865141">
        <w:rPr>
          <w:lang w:val="en-GB"/>
        </w:rPr>
        <w:t>3.9. Or</w:t>
      </w:r>
      <w:proofErr w:type="gramEnd"/>
      <w:r w:rsidRPr="00865141">
        <w:rPr>
          <w:lang w:val="en-GB"/>
        </w:rPr>
        <w:t xml:space="preserve"> to what level in absolute terms have the contributions, fees or taxes referred to in point 3.8 been limited?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1254663833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3.10. In case of dredgers and tugboats, is the aid strictly limited to maritime transport part of activities?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362645017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lastRenderedPageBreak/>
        <w:tab/>
        <w:t>3.11. For category (e) under point 1: What is the aid intensity in terms of the cost of the training or the salary of the trainee?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801532776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2A187B" w:rsidP="002A187B">
      <w:pPr>
        <w:pStyle w:val="Point1"/>
        <w:rPr>
          <w:lang w:val="en-GB"/>
        </w:rPr>
      </w:pP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3.12. For category (f) under point 1: What is the amount of aid per tonne kilometre transferred?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-279346129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2A187B" w:rsidRPr="00865141" w:rsidRDefault="002A187B" w:rsidP="002A187B">
      <w:pPr>
        <w:pStyle w:val="Point1"/>
        <w:rPr>
          <w:lang w:val="en-GB"/>
        </w:rPr>
      </w:pPr>
      <w:r w:rsidRPr="00865141">
        <w:rPr>
          <w:lang w:val="en-GB"/>
        </w:rPr>
        <w:tab/>
        <w:t>3.13. For category (h) under point 1: What is the amount of individual grants?</w:t>
      </w:r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  <w:sdt>
        <w:sdtPr>
          <w:rPr>
            <w:lang w:val="en-GB"/>
          </w:rPr>
          <w:id w:val="1805587340"/>
          <w:placeholder>
            <w:docPart w:val="DefaultPlaceholder_1081868574"/>
          </w:placeholder>
          <w:showingPlcHdr/>
        </w:sdtPr>
        <w:sdtEndPr/>
        <w:sdtContent>
          <w:r w:rsidRPr="00AD1D68">
            <w:rPr>
              <w:rStyle w:val="PlaceholderText"/>
              <w:lang w:val="en-GB"/>
            </w:rPr>
            <w:t>Click here to enter text.</w:t>
          </w:r>
        </w:sdtContent>
      </w:sdt>
    </w:p>
    <w:p w:rsidR="002A187B" w:rsidRPr="00865141" w:rsidRDefault="00787BC7" w:rsidP="002A187B">
      <w:pPr>
        <w:pStyle w:val="Point1"/>
        <w:rPr>
          <w:lang w:val="en-GB"/>
        </w:rPr>
      </w:pPr>
      <w:r>
        <w:rPr>
          <w:lang w:val="en-GB"/>
        </w:rPr>
        <w:tab/>
      </w:r>
    </w:p>
    <w:p w:rsidR="00D45FEF" w:rsidRDefault="00D45FEF"/>
    <w:sectPr w:rsidR="00D45F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2E" w:rsidRDefault="00556E2E" w:rsidP="002A187B">
      <w:r>
        <w:separator/>
      </w:r>
    </w:p>
  </w:endnote>
  <w:endnote w:type="continuationSeparator" w:id="0">
    <w:p w:rsidR="00556E2E" w:rsidRDefault="00556E2E" w:rsidP="002A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2E" w:rsidRDefault="00556E2E" w:rsidP="002A187B">
      <w:r>
        <w:separator/>
      </w:r>
    </w:p>
  </w:footnote>
  <w:footnote w:type="continuationSeparator" w:id="0">
    <w:p w:rsidR="00556E2E" w:rsidRDefault="00556E2E" w:rsidP="002A187B">
      <w:r>
        <w:continuationSeparator/>
      </w:r>
    </w:p>
  </w:footnote>
  <w:footnote w:id="1">
    <w:p w:rsidR="002A187B" w:rsidRPr="00865141" w:rsidRDefault="002A187B" w:rsidP="002A187B">
      <w:pPr>
        <w:pStyle w:val="FootnoteText"/>
        <w:ind w:left="450" w:hanging="450"/>
        <w:rPr>
          <w:lang w:val="en-GB"/>
        </w:rPr>
      </w:pPr>
      <w:r w:rsidRPr="00865141">
        <w:rPr>
          <w:rStyle w:val="FootnoteReference"/>
          <w:lang w:val="en-GB"/>
        </w:rPr>
        <w:footnoteRef/>
      </w:r>
      <w:r w:rsidRPr="00865141">
        <w:rPr>
          <w:lang w:val="en-GB"/>
        </w:rPr>
        <w:tab/>
        <w:t>The Authority´s Guidelines on State aid to maritime transport, as adopted by Decision No 62/04/COL, published in OJ L 240, 13.9.2007, p. 9 and EEA Supplement No 43 on the same date.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028A1"/>
    <w:multiLevelType w:val="multilevel"/>
    <w:tmpl w:val="F15265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7B"/>
    <w:rsid w:val="00156B85"/>
    <w:rsid w:val="001D6B5B"/>
    <w:rsid w:val="002A187B"/>
    <w:rsid w:val="00556E2E"/>
    <w:rsid w:val="00787BC7"/>
    <w:rsid w:val="00AD1D68"/>
    <w:rsid w:val="00D45FEF"/>
    <w:rsid w:val="00E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89213-C0AA-4DEF-8293-C4FFCEC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87B"/>
    <w:pPr>
      <w:keepNext/>
      <w:numPr>
        <w:numId w:val="1"/>
      </w:numPr>
      <w:spacing w:after="60"/>
      <w:ind w:left="431" w:hanging="431"/>
      <w:outlineLvl w:val="0"/>
    </w:pPr>
    <w:rPr>
      <w:rFonts w:ascii="Times" w:hAnsi="Times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87B"/>
    <w:pPr>
      <w:keepNext/>
      <w:numPr>
        <w:ilvl w:val="1"/>
        <w:numId w:val="1"/>
      </w:numPr>
      <w:spacing w:after="60"/>
      <w:ind w:left="578" w:hanging="578"/>
      <w:outlineLvl w:val="1"/>
    </w:pPr>
    <w:rPr>
      <w:rFonts w:ascii="Times" w:hAnsi="Times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87B"/>
    <w:pPr>
      <w:keepNext/>
      <w:numPr>
        <w:ilvl w:val="2"/>
        <w:numId w:val="1"/>
      </w:numPr>
      <w:spacing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87B"/>
    <w:pPr>
      <w:keepNext/>
      <w:numPr>
        <w:ilvl w:val="3"/>
        <w:numId w:val="1"/>
      </w:numPr>
      <w:spacing w:after="60"/>
      <w:ind w:left="862" w:hanging="862"/>
      <w:outlineLvl w:val="3"/>
    </w:pPr>
    <w:rPr>
      <w:rFonts w:ascii="Times" w:hAnsi="Times"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87B"/>
    <w:pPr>
      <w:numPr>
        <w:ilvl w:val="4"/>
        <w:numId w:val="1"/>
      </w:numPr>
      <w:spacing w:after="60"/>
      <w:ind w:left="1009" w:hanging="1009"/>
      <w:outlineLvl w:val="4"/>
    </w:pPr>
    <w:rPr>
      <w:rFonts w:ascii="Times" w:hAnsi="Times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87B"/>
    <w:pPr>
      <w:numPr>
        <w:ilvl w:val="5"/>
        <w:numId w:val="1"/>
      </w:numPr>
      <w:spacing w:after="60"/>
      <w:ind w:left="1151" w:hanging="1151"/>
      <w:outlineLvl w:val="5"/>
    </w:pPr>
    <w:rPr>
      <w:rFonts w:ascii="Times" w:hAnsi="Times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87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187B"/>
    <w:pPr>
      <w:numPr>
        <w:ilvl w:val="7"/>
        <w:numId w:val="1"/>
      </w:numPr>
      <w:spacing w:after="60"/>
      <w:outlineLvl w:val="7"/>
    </w:pPr>
    <w:rPr>
      <w:rFonts w:ascii="Times" w:hAnsi="Times"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187B"/>
    <w:pPr>
      <w:numPr>
        <w:ilvl w:val="8"/>
        <w:numId w:val="1"/>
      </w:numPr>
      <w:spacing w:after="60"/>
      <w:ind w:left="1582" w:hanging="1582"/>
      <w:outlineLvl w:val="8"/>
    </w:pPr>
    <w:rPr>
      <w:rFonts w:ascii="Times" w:hAnsi="Time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187B"/>
    <w:rPr>
      <w:rFonts w:ascii="Times" w:eastAsia="Times New Roman" w:hAnsi="Times" w:cs="Times New Roman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A187B"/>
    <w:rPr>
      <w:rFonts w:ascii="Times" w:eastAsia="Times New Roman" w:hAnsi="Times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A187B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A187B"/>
    <w:rPr>
      <w:rFonts w:ascii="Times" w:eastAsia="Times New Roman" w:hAnsi="Times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A187B"/>
    <w:rPr>
      <w:rFonts w:ascii="Times" w:eastAsia="Times New Roman" w:hAnsi="Times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2A187B"/>
    <w:rPr>
      <w:rFonts w:ascii="Times" w:eastAsia="Times New Roman" w:hAnsi="Times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2A18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A187B"/>
    <w:rPr>
      <w:rFonts w:ascii="Times" w:eastAsia="Times New Roman" w:hAnsi="Times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2A187B"/>
    <w:rPr>
      <w:rFonts w:ascii="Times" w:eastAsia="Times New Roman" w:hAnsi="Times" w:cs="Times New Roman"/>
      <w:sz w:val="24"/>
    </w:rPr>
  </w:style>
  <w:style w:type="character" w:styleId="FootnoteReference">
    <w:name w:val="footnote reference"/>
    <w:basedOn w:val="DefaultParagraphFont"/>
    <w:uiPriority w:val="99"/>
    <w:rsid w:val="002A18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A187B"/>
    <w:pPr>
      <w:autoSpaceDE w:val="0"/>
      <w:autoSpaceDN w:val="0"/>
      <w:jc w:val="both"/>
    </w:pPr>
    <w:rPr>
      <w:rFonts w:eastAsiaTheme="minorEastAsia"/>
      <w:sz w:val="20"/>
      <w:lang w:val="fr-FR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87B"/>
    <w:rPr>
      <w:rFonts w:ascii="Times New Roman" w:eastAsiaTheme="minorEastAsia" w:hAnsi="Times New Roman" w:cs="Times New Roman"/>
      <w:sz w:val="20"/>
      <w:szCs w:val="20"/>
      <w:lang w:val="fr-FR" w:eastAsia="en-GB"/>
    </w:rPr>
  </w:style>
  <w:style w:type="paragraph" w:customStyle="1" w:styleId="Point0">
    <w:name w:val="Point 0"/>
    <w:basedOn w:val="Normal"/>
    <w:uiPriority w:val="99"/>
    <w:rsid w:val="002A187B"/>
    <w:pPr>
      <w:autoSpaceDE w:val="0"/>
      <w:autoSpaceDN w:val="0"/>
      <w:spacing w:before="120" w:after="120"/>
      <w:ind w:left="851" w:hanging="851"/>
      <w:jc w:val="both"/>
    </w:pPr>
    <w:rPr>
      <w:rFonts w:eastAsiaTheme="minorEastAsia"/>
      <w:szCs w:val="24"/>
      <w:lang w:val="fr-FR" w:eastAsia="en-GB"/>
    </w:rPr>
  </w:style>
  <w:style w:type="paragraph" w:customStyle="1" w:styleId="ManualHeading1">
    <w:name w:val="Manual Heading 1"/>
    <w:basedOn w:val="Heading1"/>
    <w:next w:val="Normal"/>
    <w:uiPriority w:val="99"/>
    <w:rsid w:val="002A187B"/>
    <w:pPr>
      <w:tabs>
        <w:tab w:val="clear" w:pos="432"/>
        <w:tab w:val="num" w:pos="851"/>
      </w:tabs>
      <w:autoSpaceDE w:val="0"/>
      <w:autoSpaceDN w:val="0"/>
      <w:spacing w:before="360" w:after="120"/>
      <w:ind w:left="851" w:hanging="851"/>
      <w:jc w:val="both"/>
    </w:pPr>
    <w:rPr>
      <w:rFonts w:ascii="Times New Roman" w:eastAsiaTheme="minorEastAsia" w:hAnsi="Times New Roman"/>
      <w:smallCaps/>
      <w:kern w:val="0"/>
      <w:sz w:val="24"/>
      <w:szCs w:val="24"/>
      <w:lang w:val="fr-FR" w:eastAsia="en-GB"/>
    </w:rPr>
  </w:style>
  <w:style w:type="paragraph" w:customStyle="1" w:styleId="ManualHeading2">
    <w:name w:val="Manual Heading 2"/>
    <w:basedOn w:val="Heading2"/>
    <w:next w:val="Normal"/>
    <w:uiPriority w:val="99"/>
    <w:rsid w:val="002A187B"/>
    <w:pPr>
      <w:tabs>
        <w:tab w:val="clear" w:pos="576"/>
        <w:tab w:val="num" w:pos="851"/>
      </w:tabs>
      <w:autoSpaceDE w:val="0"/>
      <w:autoSpaceDN w:val="0"/>
      <w:spacing w:before="120" w:after="120"/>
      <w:ind w:left="851" w:hanging="851"/>
      <w:jc w:val="both"/>
    </w:pPr>
    <w:rPr>
      <w:rFonts w:ascii="Times New Roman" w:eastAsiaTheme="minorEastAsia" w:hAnsi="Times New Roman"/>
      <w:iCs w:val="0"/>
      <w:szCs w:val="24"/>
      <w:lang w:val="fr-FR" w:eastAsia="en-GB"/>
    </w:rPr>
  </w:style>
  <w:style w:type="paragraph" w:customStyle="1" w:styleId="NormalLeft">
    <w:name w:val="Normal Left"/>
    <w:basedOn w:val="Normal"/>
    <w:uiPriority w:val="99"/>
    <w:rsid w:val="002A187B"/>
    <w:pPr>
      <w:autoSpaceDE w:val="0"/>
      <w:autoSpaceDN w:val="0"/>
      <w:spacing w:before="120" w:after="120"/>
    </w:pPr>
    <w:rPr>
      <w:rFonts w:eastAsiaTheme="minorEastAsia"/>
      <w:szCs w:val="24"/>
      <w:lang w:val="fr-FR" w:eastAsia="en-GB"/>
    </w:rPr>
  </w:style>
  <w:style w:type="paragraph" w:customStyle="1" w:styleId="Point1">
    <w:name w:val="Point 1"/>
    <w:basedOn w:val="Normal"/>
    <w:uiPriority w:val="99"/>
    <w:rsid w:val="002A187B"/>
    <w:pPr>
      <w:autoSpaceDE w:val="0"/>
      <w:autoSpaceDN w:val="0"/>
      <w:spacing w:before="120" w:after="120"/>
      <w:ind w:left="1418" w:hanging="567"/>
      <w:jc w:val="both"/>
    </w:pPr>
    <w:rPr>
      <w:rFonts w:eastAsiaTheme="minorEastAsia"/>
      <w:szCs w:val="24"/>
      <w:lang w:val="fr-FR" w:eastAsia="en-GB"/>
    </w:rPr>
  </w:style>
  <w:style w:type="character" w:styleId="PlaceholderText">
    <w:name w:val="Placeholder Text"/>
    <w:basedOn w:val="DefaultParagraphFont"/>
    <w:uiPriority w:val="99"/>
    <w:semiHidden/>
    <w:rsid w:val="00787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6B69-CFEE-4625-BFF9-90D453599CC0}"/>
      </w:docPartPr>
      <w:docPartBody>
        <w:p w:rsidR="00FF1649" w:rsidRDefault="004F6F5B">
          <w:r w:rsidRPr="00DB51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5B"/>
    <w:rsid w:val="004F6F5B"/>
    <w:rsid w:val="007F73EE"/>
    <w:rsid w:val="00E74997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F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 Surveillance Authority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Ragnarsdottir, Gudny Ragna</dc:creator>
  <cp:keywords/>
  <dc:description/>
  <cp:lastModifiedBy>Duraffourd, Josephine</cp:lastModifiedBy>
  <cp:revision>2</cp:revision>
  <dcterms:created xsi:type="dcterms:W3CDTF">2017-08-31T08:19:00Z</dcterms:created>
  <dcterms:modified xsi:type="dcterms:W3CDTF">2017-08-31T08:19:00Z</dcterms:modified>
</cp:coreProperties>
</file>