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6A" w:rsidRDefault="0036506A" w:rsidP="0036506A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Forskrift om krav til bruk av elektronisk betalingsenhet i motorvogner</w:t>
      </w:r>
    </w:p>
    <w:p w:rsidR="0036506A" w:rsidRDefault="0036506A" w:rsidP="0036506A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Hjemmel: </w:t>
      </w:r>
      <w:r>
        <w:rPr>
          <w:sz w:val="20"/>
          <w:szCs w:val="20"/>
        </w:rPr>
        <w:t xml:space="preserve">Fastsatt ved kongelig resolusjon dd.mm.åååå med hjemmel i lov 18. juni 1965 nr.4 om vegtrafikk § 13, § 31 og § 31a. Fremmet av Samferdselsdepartementet.  </w:t>
      </w:r>
    </w:p>
    <w:p w:rsidR="0036506A" w:rsidRDefault="0036506A" w:rsidP="0036506A">
      <w:pPr>
        <w:autoSpaceDE w:val="0"/>
        <w:autoSpaceDN w:val="0"/>
        <w:adjustRightInd w:val="0"/>
        <w:rPr>
          <w:sz w:val="20"/>
          <w:szCs w:val="20"/>
        </w:rPr>
      </w:pPr>
    </w:p>
    <w:p w:rsidR="0036506A" w:rsidRDefault="0036506A" w:rsidP="0036506A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§ 1 Krav til bruk av elektronisk betalingsenhet</w:t>
      </w:r>
    </w:p>
    <w:p w:rsidR="0036506A" w:rsidRDefault="0036506A" w:rsidP="0036506A">
      <w:pPr>
        <w:autoSpaceDE w:val="0"/>
        <w:autoSpaceDN w:val="0"/>
        <w:adjustRightInd w:val="0"/>
        <w:ind w:firstLine="708"/>
      </w:pPr>
      <w:r>
        <w:t>Motorvogner med tillatt totalvekt over 3 500 kg som er registrert på foretak, stat,</w:t>
      </w:r>
    </w:p>
    <w:p w:rsidR="0036506A" w:rsidRDefault="0036506A" w:rsidP="0036506A">
      <w:pPr>
        <w:autoSpaceDE w:val="0"/>
        <w:autoSpaceDN w:val="0"/>
        <w:adjustRightInd w:val="0"/>
      </w:pPr>
      <w:r>
        <w:t xml:space="preserve">fylkeskommune eller kommune, eller som på annen måte benyttes i næringsvirksomhet, skal ved all kjøring på offentlig veg være utstyrt med elektronisk betalingsenhet. </w:t>
      </w:r>
    </w:p>
    <w:p w:rsidR="0036506A" w:rsidRDefault="0036506A" w:rsidP="0036506A">
      <w:pPr>
        <w:autoSpaceDE w:val="0"/>
        <w:autoSpaceDN w:val="0"/>
        <w:adjustRightInd w:val="0"/>
        <w:ind w:firstLine="708"/>
      </w:pPr>
      <w:r>
        <w:t xml:space="preserve">Påbudet etter første ledd gjelder ikke traktorer og motorredskaper. Tilsvarende gjelder påbudet ikke kjøretøy som er tilknyttet NATO militære hovedkvarter, utenlandske NATO-styrker og styrker som er med i Partnerskap for fred, og påbudet gjelder heller ikke </w:t>
      </w:r>
      <w:r w:rsidRPr="00D93397">
        <w:t>militære stridskjøretøy</w:t>
      </w:r>
      <w:r>
        <w:t>,</w:t>
      </w:r>
      <w:r w:rsidRPr="00D93397">
        <w:t xml:space="preserve"> selvdrevne artillerisystemer</w:t>
      </w:r>
      <w:r>
        <w:t xml:space="preserve"> og lignende kjøretøy som er eid av forsvaret.</w:t>
      </w:r>
    </w:p>
    <w:p w:rsidR="0036506A" w:rsidRDefault="0036506A" w:rsidP="0036506A">
      <w:pPr>
        <w:autoSpaceDE w:val="0"/>
        <w:autoSpaceDN w:val="0"/>
        <w:adjustRightInd w:val="0"/>
      </w:pPr>
    </w:p>
    <w:p w:rsidR="0036506A" w:rsidRPr="00001910" w:rsidRDefault="0036506A" w:rsidP="0036506A">
      <w:pPr>
        <w:autoSpaceDE w:val="0"/>
        <w:autoSpaceDN w:val="0"/>
        <w:adjustRightInd w:val="0"/>
        <w:rPr>
          <w:i/>
        </w:rPr>
      </w:pPr>
      <w:r w:rsidRPr="00001910">
        <w:rPr>
          <w:i/>
        </w:rPr>
        <w:t>§ 2 Krav til betalingsenhet og avtale</w:t>
      </w:r>
    </w:p>
    <w:p w:rsidR="0036506A" w:rsidRDefault="0036506A" w:rsidP="0036506A">
      <w:pPr>
        <w:autoSpaceDE w:val="0"/>
        <w:autoSpaceDN w:val="0"/>
        <w:adjustRightInd w:val="0"/>
        <w:ind w:firstLine="708"/>
      </w:pPr>
      <w:r>
        <w:t xml:space="preserve">Med betalingsenhet etter § 1 menes </w:t>
      </w:r>
      <w:r w:rsidRPr="00334CBD">
        <w:t>en godkjent innretning i norske trafikantbetalingssystemer</w:t>
      </w:r>
      <w:r>
        <w:t xml:space="preserve">, som avleses når motorvognen passerer en bomstasjon eller et annet betalingssnitt på veg. Betalingsenheten skal være godkjent for bruk i hele Norge og være tilknyttet norsk eller utenlandsk utsteder av betalingsenheten </w:t>
      </w:r>
      <w:r w:rsidRPr="00973A7A">
        <w:t>ved gyldig avtale</w:t>
      </w:r>
      <w:r>
        <w:t xml:space="preserve">. </w:t>
      </w:r>
    </w:p>
    <w:p w:rsidR="0036506A" w:rsidRDefault="0036506A" w:rsidP="0036506A">
      <w:pPr>
        <w:autoSpaceDE w:val="0"/>
        <w:autoSpaceDN w:val="0"/>
        <w:adjustRightInd w:val="0"/>
        <w:ind w:firstLine="708"/>
      </w:pPr>
      <w:r>
        <w:t xml:space="preserve">Avtalen og betalingsenheten skal være knyttet til den enkelte motorvogn, og motorvognen skal være </w:t>
      </w:r>
      <w:r w:rsidRPr="00973A7A">
        <w:t>knyttet til en gyldig avtale</w:t>
      </w:r>
      <w:r>
        <w:t xml:space="preserve">. Norske utstedere av betalingsenheter kan fastsette generelle betingelser i avtalevilkårene om avtaleforholdet, avtaleperiode, endring av avtalen og oppsigelse og bestemmelser om brukerens ansvar knyttet til bruken av betalingsenheten, betaling av depositum for betalingsenheten og betalingsvilkår. </w:t>
      </w:r>
    </w:p>
    <w:p w:rsidR="0036506A" w:rsidRDefault="0036506A" w:rsidP="0036506A">
      <w:pPr>
        <w:autoSpaceDE w:val="0"/>
        <w:autoSpaceDN w:val="0"/>
        <w:adjustRightInd w:val="0"/>
      </w:pPr>
    </w:p>
    <w:p w:rsidR="0036506A" w:rsidRDefault="0036506A" w:rsidP="0036506A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§ 3 Ansvar</w:t>
      </w:r>
    </w:p>
    <w:p w:rsidR="0036506A" w:rsidRDefault="0036506A" w:rsidP="0036506A">
      <w:pPr>
        <w:autoSpaceDE w:val="0"/>
        <w:autoSpaceDN w:val="0"/>
        <w:adjustRightInd w:val="0"/>
        <w:ind w:firstLine="708"/>
      </w:pPr>
      <w:r>
        <w:t>Eier av motorvognen etter § 1 er ansvarlig for at motorvognen er utstyrt med elektronisk betalingsenhet med gyldig avtale. Dersom fører av motorvognen ikke er den samme som registrert som eier, er føreren solidarisk ansvarlig.</w:t>
      </w:r>
    </w:p>
    <w:p w:rsidR="0036506A" w:rsidRDefault="0036506A" w:rsidP="0036506A">
      <w:pPr>
        <w:autoSpaceDE w:val="0"/>
        <w:autoSpaceDN w:val="0"/>
        <w:adjustRightInd w:val="0"/>
        <w:ind w:firstLine="708"/>
      </w:pPr>
      <w:r>
        <w:t>Ved leasing regnes leasingtaker som eieren av motorvognen.</w:t>
      </w:r>
    </w:p>
    <w:p w:rsidR="0036506A" w:rsidRDefault="0036506A" w:rsidP="0036506A">
      <w:pPr>
        <w:autoSpaceDE w:val="0"/>
        <w:autoSpaceDN w:val="0"/>
        <w:adjustRightInd w:val="0"/>
        <w:rPr>
          <w:i/>
          <w:iCs/>
        </w:rPr>
      </w:pPr>
    </w:p>
    <w:p w:rsidR="0036506A" w:rsidRDefault="0036506A" w:rsidP="0036506A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§ 4 Montering</w:t>
      </w:r>
    </w:p>
    <w:p w:rsidR="0036506A" w:rsidRDefault="0036506A" w:rsidP="0036506A">
      <w:pPr>
        <w:autoSpaceDE w:val="0"/>
        <w:autoSpaceDN w:val="0"/>
        <w:adjustRightInd w:val="0"/>
        <w:ind w:firstLine="708"/>
      </w:pPr>
      <w:r>
        <w:t xml:space="preserve">Betalingsenheten skal være montert godt synlig i frontruten på motorvognen og være plassert i samsvar med monteringsinstruksen som følger med betalingsenheten. </w:t>
      </w:r>
    </w:p>
    <w:p w:rsidR="0036506A" w:rsidRDefault="0036506A" w:rsidP="0036506A">
      <w:pPr>
        <w:autoSpaceDE w:val="0"/>
        <w:autoSpaceDN w:val="0"/>
        <w:adjustRightInd w:val="0"/>
        <w:rPr>
          <w:i/>
          <w:iCs/>
        </w:rPr>
      </w:pPr>
    </w:p>
    <w:p w:rsidR="0036506A" w:rsidRDefault="0036506A" w:rsidP="0036506A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§ 5 Overtredelsesgebyr</w:t>
      </w:r>
    </w:p>
    <w:p w:rsidR="0036506A" w:rsidRPr="002C5C65" w:rsidRDefault="0036506A" w:rsidP="0036506A">
      <w:pPr>
        <w:autoSpaceDE w:val="0"/>
        <w:autoSpaceDN w:val="0"/>
        <w:adjustRightInd w:val="0"/>
        <w:ind w:firstLine="708"/>
      </w:pPr>
      <w:r>
        <w:t xml:space="preserve">Politiet, tollvesenet og Statens vegvesens regionvegkontorer kan ilegge overtredelsesgebyr på </w:t>
      </w:r>
      <w:r w:rsidRPr="00130A97">
        <w:t>kr 8 000</w:t>
      </w:r>
      <w:r>
        <w:rPr>
          <w:color w:val="FF0000"/>
        </w:rPr>
        <w:t xml:space="preserve"> </w:t>
      </w:r>
      <w:r w:rsidRPr="002C5C65">
        <w:t>for følgende overtredelser:</w:t>
      </w:r>
    </w:p>
    <w:p w:rsidR="0036506A" w:rsidRDefault="0036506A" w:rsidP="0036506A">
      <w:pPr>
        <w:pStyle w:val="Listeavsnitt"/>
        <w:numPr>
          <w:ilvl w:val="0"/>
          <w:numId w:val="1"/>
        </w:numPr>
        <w:autoSpaceDE w:val="0"/>
        <w:autoSpaceDN w:val="0"/>
        <w:adjustRightInd w:val="0"/>
      </w:pPr>
      <w:r>
        <w:t>unnlatt bruk av lesbar elektronisk betalingsenhet med en tilhørende gyldig avtale tilknyttet motorvognen</w:t>
      </w:r>
    </w:p>
    <w:p w:rsidR="0036506A" w:rsidRDefault="0036506A" w:rsidP="0036506A">
      <w:pPr>
        <w:pStyle w:val="Listeavsnitt"/>
        <w:numPr>
          <w:ilvl w:val="0"/>
          <w:numId w:val="1"/>
        </w:numPr>
        <w:autoSpaceDE w:val="0"/>
        <w:autoSpaceDN w:val="0"/>
        <w:adjustRightInd w:val="0"/>
      </w:pPr>
      <w:r>
        <w:t>bruk av betalingsenhet med avtale tilknyttet feil takstgruppe</w:t>
      </w:r>
    </w:p>
    <w:p w:rsidR="0036506A" w:rsidRPr="00353F96" w:rsidRDefault="0036506A" w:rsidP="0036506A">
      <w:pPr>
        <w:autoSpaceDE w:val="0"/>
        <w:autoSpaceDN w:val="0"/>
        <w:adjustRightInd w:val="0"/>
        <w:ind w:left="720"/>
      </w:pPr>
      <w:r w:rsidRPr="00353F96">
        <w:t xml:space="preserve">Ved gjentakelse kan det ilegges dobbelt overtredelsesgebyr. </w:t>
      </w:r>
    </w:p>
    <w:p w:rsidR="0036506A" w:rsidRPr="00F4367E" w:rsidRDefault="0036506A" w:rsidP="0036506A">
      <w:pPr>
        <w:autoSpaceDE w:val="0"/>
        <w:autoSpaceDN w:val="0"/>
        <w:adjustRightInd w:val="0"/>
        <w:ind w:firstLine="708"/>
      </w:pPr>
      <w:r>
        <w:t xml:space="preserve">Overtredelsesgebyret kan ilegges eieren, føreren eller leasingtaker etter ansvaret i § 3. </w:t>
      </w:r>
      <w:r w:rsidRPr="00F4367E">
        <w:t>Bestemmelsene i forskrift 17. september 1993 nr. 855 om gebyr for visse overtredelser av vegtrafikkloven §§ 3</w:t>
      </w:r>
      <w:r>
        <w:t xml:space="preserve">, 5, 6, 7, 8 og </w:t>
      </w:r>
      <w:r w:rsidRPr="00F4367E">
        <w:t>9 gjelder så langt de passer.</w:t>
      </w:r>
      <w:r>
        <w:t xml:space="preserve"> For gebyrer som ilegges av tollvesenet, utfører tollvesenet myndigheten og oppgavene </w:t>
      </w:r>
      <w:r w:rsidR="00E005B8">
        <w:t xml:space="preserve">som er </w:t>
      </w:r>
      <w:r>
        <w:t>lagt til politiet og Statens vegvesens regionvegkontor</w:t>
      </w:r>
      <w:r w:rsidR="00E005B8">
        <w:t xml:space="preserve">er </w:t>
      </w:r>
      <w:r>
        <w:t xml:space="preserve">etter disse bestemmelsene. </w:t>
      </w:r>
    </w:p>
    <w:p w:rsidR="0036506A" w:rsidRPr="00051A1C" w:rsidRDefault="0036506A" w:rsidP="0036506A">
      <w:pPr>
        <w:autoSpaceDE w:val="0"/>
        <w:autoSpaceDN w:val="0"/>
        <w:adjustRightInd w:val="0"/>
        <w:ind w:firstLine="708"/>
        <w:rPr>
          <w:iCs/>
        </w:rPr>
      </w:pPr>
      <w:r>
        <w:rPr>
          <w:iCs/>
        </w:rPr>
        <w:t>Overtredelsesg</w:t>
      </w:r>
      <w:r w:rsidRPr="00051A1C">
        <w:rPr>
          <w:iCs/>
        </w:rPr>
        <w:t xml:space="preserve">ebyr ilegges ikke dersom overtredelsen fremstår som særlig graverende eller av andre </w:t>
      </w:r>
      <w:r>
        <w:rPr>
          <w:iCs/>
        </w:rPr>
        <w:t xml:space="preserve">særlige </w:t>
      </w:r>
      <w:r w:rsidRPr="00051A1C">
        <w:rPr>
          <w:iCs/>
        </w:rPr>
        <w:t>grunner bør følges opp ved vanlig straffeprosessuell forfølgning etter vegtrafikkloven §</w:t>
      </w:r>
      <w:r>
        <w:rPr>
          <w:iCs/>
        </w:rPr>
        <w:t xml:space="preserve"> 31 første ledd</w:t>
      </w:r>
      <w:r w:rsidRPr="00051A1C">
        <w:rPr>
          <w:iCs/>
        </w:rPr>
        <w:t xml:space="preserve">. </w:t>
      </w:r>
    </w:p>
    <w:p w:rsidR="0036506A" w:rsidRDefault="0036506A" w:rsidP="0036506A">
      <w:pPr>
        <w:autoSpaceDE w:val="0"/>
        <w:autoSpaceDN w:val="0"/>
        <w:adjustRightInd w:val="0"/>
        <w:rPr>
          <w:color w:val="FF0000"/>
        </w:rPr>
      </w:pPr>
    </w:p>
    <w:p w:rsidR="0036506A" w:rsidRPr="00992AFB" w:rsidRDefault="0036506A" w:rsidP="0036506A">
      <w:pPr>
        <w:spacing w:before="100" w:beforeAutospacing="1" w:after="100" w:afterAutospacing="1" w:line="300" w:lineRule="atLeast"/>
        <w:outlineLvl w:val="1"/>
        <w:rPr>
          <w:b/>
          <w:bCs/>
          <w:kern w:val="36"/>
          <w:sz w:val="26"/>
          <w:szCs w:val="26"/>
        </w:rPr>
      </w:pPr>
      <w:r w:rsidRPr="00992AFB">
        <w:rPr>
          <w:b/>
          <w:sz w:val="26"/>
          <w:szCs w:val="26"/>
        </w:rPr>
        <w:lastRenderedPageBreak/>
        <w:t>Forskrift om endring av forskrift 12.11.2013 nr. 1310 om d</w:t>
      </w:r>
      <w:r w:rsidRPr="00992AFB">
        <w:rPr>
          <w:b/>
          <w:bCs/>
          <w:kern w:val="36"/>
          <w:sz w:val="26"/>
          <w:szCs w:val="26"/>
        </w:rPr>
        <w:t>elegering av kontrollmyndighet og myndighet til å gi påbud vedrørende visse regler i vegtrafikkloven med forskrifter.</w:t>
      </w:r>
    </w:p>
    <w:p w:rsidR="0036506A" w:rsidRDefault="0036506A" w:rsidP="0036506A">
      <w:pPr>
        <w:spacing w:before="100" w:beforeAutospacing="1" w:after="100" w:afterAutospacing="1" w:line="300" w:lineRule="atLeast"/>
        <w:outlineLvl w:val="1"/>
        <w:rPr>
          <w:color w:val="333333"/>
          <w:sz w:val="20"/>
          <w:szCs w:val="20"/>
        </w:rPr>
      </w:pPr>
      <w:r w:rsidRPr="00992AFB">
        <w:rPr>
          <w:b/>
          <w:bCs/>
          <w:kern w:val="36"/>
          <w:sz w:val="20"/>
          <w:szCs w:val="20"/>
        </w:rPr>
        <w:t xml:space="preserve">Hjemmel: </w:t>
      </w:r>
      <w:r w:rsidRPr="00992AFB">
        <w:rPr>
          <w:sz w:val="20"/>
          <w:szCs w:val="20"/>
        </w:rPr>
        <w:t xml:space="preserve">Fastsatt av </w:t>
      </w:r>
      <w:r w:rsidRPr="00992AFB">
        <w:rPr>
          <w:color w:val="333333"/>
          <w:sz w:val="20"/>
          <w:szCs w:val="20"/>
        </w:rPr>
        <w:t xml:space="preserve">Samferdselsdepartementet dd.mm.åååå med </w:t>
      </w:r>
      <w:r w:rsidRPr="00992AFB">
        <w:rPr>
          <w:sz w:val="20"/>
          <w:szCs w:val="20"/>
        </w:rPr>
        <w:t xml:space="preserve">hjemmel i </w:t>
      </w:r>
      <w:hyperlink r:id="rId5" w:anchor="reference/lov/1965-06-18-4" w:history="1">
        <w:r w:rsidRPr="00992AFB">
          <w:rPr>
            <w:sz w:val="20"/>
            <w:szCs w:val="20"/>
          </w:rPr>
          <w:t>lov 18. juni 1965 nr. 4</w:t>
        </w:r>
      </w:hyperlink>
      <w:r w:rsidRPr="00992AFB">
        <w:rPr>
          <w:sz w:val="20"/>
          <w:szCs w:val="20"/>
        </w:rPr>
        <w:t xml:space="preserve"> om</w:t>
      </w:r>
      <w:r w:rsidRPr="00992AFB">
        <w:rPr>
          <w:color w:val="333333"/>
          <w:sz w:val="20"/>
          <w:szCs w:val="20"/>
        </w:rPr>
        <w:t xml:space="preserve"> vegtrafikk (vegtrafikkloven) § 10 annet ledd.</w:t>
      </w:r>
    </w:p>
    <w:p w:rsidR="0036506A" w:rsidRPr="00992AFB" w:rsidRDefault="0036506A" w:rsidP="0036506A">
      <w:pPr>
        <w:spacing w:before="100" w:beforeAutospacing="1" w:after="100" w:afterAutospacing="1" w:line="300" w:lineRule="atLeast"/>
        <w:outlineLvl w:val="1"/>
        <w:rPr>
          <w:bCs/>
          <w:kern w:val="36"/>
        </w:rPr>
      </w:pPr>
      <w:r>
        <w:t>I f</w:t>
      </w:r>
      <w:r w:rsidRPr="00992AFB">
        <w:t>orskrift 12.11.2013 nr. 1310 om d</w:t>
      </w:r>
      <w:r w:rsidRPr="00992AFB">
        <w:rPr>
          <w:bCs/>
          <w:kern w:val="36"/>
        </w:rPr>
        <w:t xml:space="preserve">elegering av kontrollmyndighet og myndighet til å gi påbud vedrørende visse regler i vegtrafikkloven med forskrifter </w:t>
      </w:r>
      <w:r>
        <w:rPr>
          <w:bCs/>
          <w:kern w:val="36"/>
        </w:rPr>
        <w:t>gjøres følgende endringer</w:t>
      </w:r>
      <w:r w:rsidRPr="00992AFB">
        <w:rPr>
          <w:bCs/>
          <w:kern w:val="36"/>
        </w:rPr>
        <w:t>:</w:t>
      </w:r>
    </w:p>
    <w:p w:rsidR="0036506A" w:rsidRPr="00EC5EB1" w:rsidRDefault="0036506A" w:rsidP="0036506A">
      <w:pPr>
        <w:pStyle w:val="mortaga"/>
        <w:spacing w:line="253" w:lineRule="atLeast"/>
        <w:textAlignment w:val="center"/>
      </w:pPr>
      <w:r w:rsidRPr="00EC5EB1">
        <w:t xml:space="preserve">Samferdselsdepartementet delegerer med dette myndighet til Tollvesenet til å foreta kontroll av og gi påbud vedrørende kjøretøy med tillatt totalvekt over 3 500 kg hva angår overholdelse av </w:t>
      </w:r>
      <w:hyperlink r:id="rId6" w:anchor="reference/forskrift/1990-01-25-92" w:history="1">
        <w:r w:rsidRPr="00EC5EB1">
          <w:t>forskrift 25. januar 1990 nr. 92</w:t>
        </w:r>
      </w:hyperlink>
      <w:r w:rsidRPr="00EC5EB1">
        <w:t xml:space="preserve"> om bruk av kjøretøy </w:t>
      </w:r>
      <w:hyperlink r:id="rId7" w:anchor="reference/forskrift/1990-01-25-92/%C2%A71-4" w:history="1">
        <w:r w:rsidRPr="00EC5EB1">
          <w:t>§ 1-4</w:t>
        </w:r>
      </w:hyperlink>
      <w:r w:rsidRPr="00EC5EB1">
        <w:t xml:space="preserve"> nr. 1 bokstav a annet ledd </w:t>
      </w:r>
      <w:r w:rsidRPr="00283098">
        <w:t>og nr. 2</w:t>
      </w:r>
      <w:r w:rsidRPr="00200DE7">
        <w:rPr>
          <w:i/>
        </w:rPr>
        <w:t xml:space="preserve"> og </w:t>
      </w:r>
      <w:r>
        <w:rPr>
          <w:i/>
        </w:rPr>
        <w:t xml:space="preserve">overholdelse av påbud etter </w:t>
      </w:r>
      <w:r w:rsidRPr="00200DE7">
        <w:rPr>
          <w:i/>
        </w:rPr>
        <w:t>forskrift dd.mm.åååå om</w:t>
      </w:r>
      <w:r w:rsidRPr="00200DE7">
        <w:rPr>
          <w:b/>
          <w:bCs/>
          <w:i/>
          <w:sz w:val="26"/>
          <w:szCs w:val="26"/>
        </w:rPr>
        <w:t xml:space="preserve"> </w:t>
      </w:r>
      <w:r w:rsidRPr="00200DE7">
        <w:rPr>
          <w:bCs/>
          <w:i/>
        </w:rPr>
        <w:t>krav til bruk av elektronisk betalingsenhet i motorvogner</w:t>
      </w:r>
      <w:r w:rsidRPr="00EC5EB1">
        <w:t>.</w:t>
      </w:r>
    </w:p>
    <w:p w:rsidR="0036506A" w:rsidRPr="00EC5EB1" w:rsidRDefault="0036506A" w:rsidP="0036506A">
      <w:pPr>
        <w:pStyle w:val="mortaga"/>
        <w:spacing w:line="253" w:lineRule="atLeast"/>
        <w:textAlignment w:val="center"/>
      </w:pPr>
      <w:r w:rsidRPr="00EC5EB1">
        <w:t>Delegeringen begrenses til å gjelde reglene om krav til mønsterdybde i dekk, krav til vinterdekk</w:t>
      </w:r>
      <w:r>
        <w:t>,</w:t>
      </w:r>
      <w:r w:rsidRPr="00EC5EB1">
        <w:t xml:space="preserve"> plikten til å medbringe kjettinger</w:t>
      </w:r>
      <w:r>
        <w:t xml:space="preserve"> </w:t>
      </w:r>
      <w:r w:rsidRPr="00200DE7">
        <w:rPr>
          <w:i/>
        </w:rPr>
        <w:t>og plikten til å utstyre motorvognen med elektronisk betalingsenhet med gyldig avtale</w:t>
      </w:r>
      <w:r w:rsidRPr="00EC5EB1">
        <w:t>.</w:t>
      </w:r>
    </w:p>
    <w:p w:rsidR="0036506A" w:rsidRPr="00EC5EB1" w:rsidRDefault="0036506A" w:rsidP="0036506A">
      <w:pPr>
        <w:pStyle w:val="mortaga"/>
        <w:spacing w:line="253" w:lineRule="atLeast"/>
        <w:textAlignment w:val="center"/>
      </w:pPr>
      <w:r w:rsidRPr="00EC5EB1">
        <w:t xml:space="preserve">Tollvesenet delegeres også myndighet til å nedlegge bruksforbud etter </w:t>
      </w:r>
      <w:hyperlink r:id="rId8" w:anchor="reference/lov/1965-06-18-4" w:history="1">
        <w:r w:rsidRPr="00EC5EB1">
          <w:t>lov 18. juni 1965 nr. 4</w:t>
        </w:r>
      </w:hyperlink>
      <w:r w:rsidRPr="00EC5EB1">
        <w:t xml:space="preserve"> om vegtrafikk (vegtrafikkloven) § 36 nr. 1, bokstavene c og d, ved overtredelse av bestemmelsene om krav til mønsterdybde i dekk, krav til vinterdekk og plikten til å medbringe kjettinger.</w:t>
      </w:r>
    </w:p>
    <w:p w:rsidR="0036506A" w:rsidRDefault="0036506A" w:rsidP="0036506A">
      <w:pPr>
        <w:pStyle w:val="mortaga"/>
        <w:spacing w:line="253" w:lineRule="atLeast"/>
        <w:textAlignment w:val="center"/>
      </w:pPr>
      <w:r w:rsidRPr="00EC5EB1">
        <w:t>Tollvesenets vedtak etter disse delegeringene kan påklages til Vegdirektoratet.</w:t>
      </w:r>
    </w:p>
    <w:p w:rsidR="0096468D" w:rsidRDefault="0096468D"/>
    <w:sectPr w:rsidR="0096468D" w:rsidSect="001E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1A0D"/>
    <w:multiLevelType w:val="hybridMultilevel"/>
    <w:tmpl w:val="02967388"/>
    <w:lvl w:ilvl="0" w:tplc="8878EA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compat/>
  <w:rsids>
    <w:rsidRoot w:val="0036506A"/>
    <w:rsid w:val="00004D45"/>
    <w:rsid w:val="000360A7"/>
    <w:rsid w:val="00082AE4"/>
    <w:rsid w:val="00096A8F"/>
    <w:rsid w:val="000A155F"/>
    <w:rsid w:val="000D2F65"/>
    <w:rsid w:val="000D45B7"/>
    <w:rsid w:val="000D5951"/>
    <w:rsid w:val="00104D8B"/>
    <w:rsid w:val="00133D81"/>
    <w:rsid w:val="001423DC"/>
    <w:rsid w:val="00197567"/>
    <w:rsid w:val="001A7815"/>
    <w:rsid w:val="001D389F"/>
    <w:rsid w:val="001D458F"/>
    <w:rsid w:val="001E671E"/>
    <w:rsid w:val="001F618F"/>
    <w:rsid w:val="00226FE1"/>
    <w:rsid w:val="002732B6"/>
    <w:rsid w:val="002746C2"/>
    <w:rsid w:val="00295399"/>
    <w:rsid w:val="002D2865"/>
    <w:rsid w:val="002F6E7D"/>
    <w:rsid w:val="00340F36"/>
    <w:rsid w:val="0036506A"/>
    <w:rsid w:val="003904E0"/>
    <w:rsid w:val="003F27B3"/>
    <w:rsid w:val="003F2E1E"/>
    <w:rsid w:val="00417695"/>
    <w:rsid w:val="00421D33"/>
    <w:rsid w:val="0048471B"/>
    <w:rsid w:val="004A7BFC"/>
    <w:rsid w:val="004B2840"/>
    <w:rsid w:val="004B4305"/>
    <w:rsid w:val="004C6943"/>
    <w:rsid w:val="00504D0D"/>
    <w:rsid w:val="00510A33"/>
    <w:rsid w:val="00560DE8"/>
    <w:rsid w:val="00562DB9"/>
    <w:rsid w:val="00562F71"/>
    <w:rsid w:val="0059285A"/>
    <w:rsid w:val="005D3CC9"/>
    <w:rsid w:val="006103F8"/>
    <w:rsid w:val="00630F79"/>
    <w:rsid w:val="00650D68"/>
    <w:rsid w:val="00692A3D"/>
    <w:rsid w:val="006B4200"/>
    <w:rsid w:val="006C5A84"/>
    <w:rsid w:val="00725F6D"/>
    <w:rsid w:val="00797D54"/>
    <w:rsid w:val="007C0295"/>
    <w:rsid w:val="00894ED6"/>
    <w:rsid w:val="008B4717"/>
    <w:rsid w:val="008C4361"/>
    <w:rsid w:val="00905914"/>
    <w:rsid w:val="009136EF"/>
    <w:rsid w:val="0096468D"/>
    <w:rsid w:val="00970FAC"/>
    <w:rsid w:val="00992196"/>
    <w:rsid w:val="00997F06"/>
    <w:rsid w:val="009B3CE3"/>
    <w:rsid w:val="009E1221"/>
    <w:rsid w:val="00A646AE"/>
    <w:rsid w:val="00A968F8"/>
    <w:rsid w:val="00AB3F00"/>
    <w:rsid w:val="00AC38E4"/>
    <w:rsid w:val="00B213E8"/>
    <w:rsid w:val="00B2590A"/>
    <w:rsid w:val="00BD348A"/>
    <w:rsid w:val="00BF0454"/>
    <w:rsid w:val="00BF363E"/>
    <w:rsid w:val="00BF58F2"/>
    <w:rsid w:val="00C04382"/>
    <w:rsid w:val="00C10573"/>
    <w:rsid w:val="00C77012"/>
    <w:rsid w:val="00C84E47"/>
    <w:rsid w:val="00CA40B7"/>
    <w:rsid w:val="00D2045F"/>
    <w:rsid w:val="00E005B8"/>
    <w:rsid w:val="00E10049"/>
    <w:rsid w:val="00E5650F"/>
    <w:rsid w:val="00EB5467"/>
    <w:rsid w:val="00F33767"/>
    <w:rsid w:val="00F34FD9"/>
    <w:rsid w:val="00F57902"/>
    <w:rsid w:val="00FE4FD3"/>
    <w:rsid w:val="00FE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06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506A"/>
    <w:pPr>
      <w:ind w:left="720"/>
      <w:contextualSpacing/>
    </w:pPr>
  </w:style>
  <w:style w:type="paragraph" w:customStyle="1" w:styleId="mortaga">
    <w:name w:val="mortag_a"/>
    <w:basedOn w:val="Normal"/>
    <w:rsid w:val="003650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data.no/p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vdata.no/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vdata.no/pro/" TargetMode="External"/><Relationship Id="rId5" Type="http://schemas.openxmlformats.org/officeDocument/2006/relationships/hyperlink" Target="http://lovdata.no/pr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4301</Characters>
  <Application>Microsoft Office Word</Application>
  <DocSecurity>0</DocSecurity>
  <Lines>35</Lines>
  <Paragraphs>9</Paragraphs>
  <ScaleCrop>false</ScaleCrop>
  <Company>STATEN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Mari Nilssen</dc:creator>
  <cp:lastModifiedBy>Hanne Lene Løvseth</cp:lastModifiedBy>
  <cp:revision>2</cp:revision>
  <dcterms:created xsi:type="dcterms:W3CDTF">2014-06-16T05:55:00Z</dcterms:created>
  <dcterms:modified xsi:type="dcterms:W3CDTF">2014-06-16T05:55:00Z</dcterms:modified>
</cp:coreProperties>
</file>