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B140B">
      <w:pPr>
        <w:rPr>
          <w:color w:val="000000"/>
        </w:rPr>
      </w:pPr>
      <w:bookmarkStart w:id="0" w:name="_GoBack"/>
      <w:bookmarkEnd w:id="0"/>
    </w:p>
    <w:p w:rsidR="00A77B3E" w:rsidRDefault="006B140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77B3E" w:rsidRDefault="006B140B">
      <w:pPr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0" name="Bilde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6B140B">
      <w:pPr>
        <w:pStyle w:val="Overskrift1"/>
        <w:jc w:val="center"/>
        <w:rPr>
          <w:color w:val="000000"/>
        </w:rPr>
      </w:pPr>
      <w:r>
        <w:rPr>
          <w:color w:val="000000"/>
        </w:rPr>
        <w:t>Forskrift om alkolås, alkolåsverksteder mv.</w:t>
      </w:r>
    </w:p>
    <w:p w:rsidR="002839EB" w:rsidRDefault="002839EB">
      <w:pPr>
        <w:jc w:val="center"/>
        <w:rPr>
          <w:sz w:val="22"/>
        </w:rPr>
      </w:pPr>
    </w:p>
    <w:p w:rsidR="002839EB" w:rsidRDefault="002839EB">
      <w:pPr>
        <w:jc w:val="center"/>
        <w:rPr>
          <w:sz w:val="22"/>
        </w:rPr>
      </w:pPr>
    </w:p>
    <w:p w:rsidR="002839EB" w:rsidRDefault="002839EB">
      <w:pPr>
        <w:rPr>
          <w:sz w:val="6"/>
        </w:rPr>
      </w:pPr>
      <w:bookmarkStart w:id="1" w:name="documentBody"/>
    </w:p>
    <w:p w:rsidR="002839EB" w:rsidRDefault="006B140B">
      <w:pPr>
        <w:rPr>
          <w:sz w:val="22"/>
        </w:rPr>
      </w:pPr>
      <w:r>
        <w:rPr>
          <w:b/>
          <w:sz w:val="18"/>
        </w:rPr>
        <w:t>Hjemmel:</w:t>
      </w:r>
      <w:r>
        <w:rPr>
          <w:sz w:val="18"/>
        </w:rPr>
        <w:t xml:space="preserve"> Fastsatt av Vegdirektoratet 30. mai 2018 med hjemmel i </w:t>
      </w:r>
      <w:hyperlink r:id="rId7" w:anchor="reference/lov/1965-06-18-4" w:history="1">
        <w:r>
          <w:rPr>
            <w:sz w:val="18"/>
          </w:rPr>
          <w:t>lov 18. juni 1965 nr. 4</w:t>
        </w:r>
      </w:hyperlink>
      <w:r>
        <w:rPr>
          <w:sz w:val="18"/>
        </w:rPr>
        <w:t xml:space="preserve"> om vegtrafikk (vegtrafikkloven) </w:t>
      </w:r>
      <w:hyperlink r:id="rId8" w:anchor="reference/lov/1965-06-18-4/§18" w:history="1">
        <w:r>
          <w:rPr>
            <w:sz w:val="18"/>
          </w:rPr>
          <w:t>§ 18</w:t>
        </w:r>
      </w:hyperlink>
      <w:r>
        <w:rPr>
          <w:sz w:val="18"/>
        </w:rPr>
        <w:t xml:space="preserve">, </w:t>
      </w:r>
      <w:hyperlink r:id="rId9" w:anchor="reference/lov/1965-06-18-4/§19a" w:history="1">
        <w:r>
          <w:rPr>
            <w:sz w:val="18"/>
          </w:rPr>
          <w:t>§ 19 a</w:t>
        </w:r>
      </w:hyperlink>
      <w:r>
        <w:rPr>
          <w:sz w:val="18"/>
        </w:rPr>
        <w:t xml:space="preserve">, </w:t>
      </w:r>
      <w:hyperlink r:id="rId10" w:anchor="reference/lov/1965-06-18-4/§19b" w:history="1">
        <w:r>
          <w:rPr>
            <w:sz w:val="18"/>
          </w:rPr>
          <w:t>§ 19 b</w:t>
        </w:r>
      </w:hyperlink>
      <w:r>
        <w:rPr>
          <w:sz w:val="18"/>
        </w:rPr>
        <w:t xml:space="preserve"> og </w:t>
      </w:r>
      <w:hyperlink r:id="rId11" w:anchor="reference/lov/1965-06-18-4/§19c" w:history="1">
        <w:r>
          <w:rPr>
            <w:sz w:val="18"/>
          </w:rPr>
          <w:t>§ 19 c</w:t>
        </w:r>
      </w:hyperlink>
      <w:r>
        <w:rPr>
          <w:sz w:val="18"/>
        </w:rPr>
        <w:t xml:space="preserve">, jf. </w:t>
      </w:r>
      <w:hyperlink r:id="rId12" w:anchor="reference/forskrift/2018-05-04-704" w:history="1">
        <w:r>
          <w:rPr>
            <w:sz w:val="18"/>
          </w:rPr>
          <w:t>delegeringsvedtak 4. mai 2018 nr. 704</w:t>
        </w:r>
      </w:hyperlink>
      <w:r>
        <w:rPr>
          <w:sz w:val="18"/>
        </w:rPr>
        <w:t>.</w:t>
      </w:r>
      <w:bookmarkStart w:id="2" w:name="KAPITTEL_1"/>
    </w:p>
    <w:p w:rsidR="002839EB" w:rsidRDefault="002839EB">
      <w:pPr>
        <w:rPr>
          <w:sz w:val="22"/>
        </w:rPr>
      </w:pPr>
    </w:p>
    <w:p w:rsidR="002839EB" w:rsidRDefault="002839EB">
      <w:pPr>
        <w:rPr>
          <w:sz w:val="22"/>
        </w:rPr>
      </w:pPr>
    </w:p>
    <w:p w:rsidR="002839EB" w:rsidRDefault="006B140B">
      <w:pPr>
        <w:pStyle w:val="Overskrift2"/>
        <w:spacing w:before="0" w:after="0"/>
        <w:rPr>
          <w:sz w:val="22"/>
        </w:rPr>
      </w:pPr>
      <w:r>
        <w:t>Kapittel 1. Innledende bestemmelser</w:t>
      </w:r>
      <w:bookmarkStart w:id="3" w:name="PARAGRAF_1"/>
    </w:p>
    <w:p w:rsidR="002839EB" w:rsidRDefault="002839EB">
      <w:pPr>
        <w:rPr>
          <w:sz w:val="22"/>
        </w:rPr>
      </w:pPr>
    </w:p>
    <w:p w:rsidR="002839EB" w:rsidRDefault="006B140B">
      <w:pPr>
        <w:rPr>
          <w:sz w:val="6"/>
        </w:rPr>
      </w:pPr>
      <w:bookmarkStart w:id="4" w:name="§1"/>
      <w:bookmarkEnd w:id="4"/>
      <w:r>
        <w:rPr>
          <w:b/>
          <w:sz w:val="22"/>
        </w:rPr>
        <w:t>§</w:t>
      </w:r>
      <w:r>
        <w:rPr>
          <w:b/>
          <w:sz w:val="22"/>
        </w:rPr>
        <w:t xml:space="preserve"> 1.</w:t>
      </w:r>
      <w:r>
        <w:rPr>
          <w:sz w:val="22"/>
        </w:rPr>
        <w:t xml:space="preserve"> </w:t>
      </w:r>
      <w:r>
        <w:rPr>
          <w:b/>
          <w:i/>
          <w:sz w:val="22"/>
        </w:rPr>
        <w:t>Formål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Forskriften skal ivareta sikkerhet, kvalitet og etterlevelse av påbudet om å ha installert alkolås i kjøretøy.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Formålet med å ha alkolås installert i kjøretøy er å forhindre alkoholpåvirket kjøring.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" w:name="PARAGRAF_2"/>
      <w:bookmarkEnd w:id="3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6" w:name="§2"/>
      <w:bookmarkEnd w:id="6"/>
      <w:r>
        <w:rPr>
          <w:b/>
          <w:sz w:val="22"/>
        </w:rPr>
        <w:t>§ 2.</w:t>
      </w:r>
      <w:r>
        <w:rPr>
          <w:sz w:val="22"/>
        </w:rPr>
        <w:t xml:space="preserve"> </w:t>
      </w:r>
      <w:r>
        <w:rPr>
          <w:b/>
          <w:i/>
          <w:sz w:val="22"/>
        </w:rPr>
        <w:t>Virkeområde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</w:t>
      </w:r>
      <w:r>
        <w:rPr>
          <w:sz w:val="22"/>
        </w:rPr>
        <w:t xml:space="preserve">skriften gjelder for den som driver persontransport mot vederlag på veg i Norge med kjøretøy i gruppene M2 og M3 og som omfattes av </w:t>
      </w:r>
      <w:hyperlink r:id="rId13" w:anchor="reference/lov/2002-06-21-45" w:history="1">
        <w:r>
          <w:rPr>
            <w:sz w:val="22"/>
          </w:rPr>
          <w:t>lov 21. juni 2002 nr. 45</w:t>
        </w:r>
      </w:hyperlink>
      <w:r>
        <w:rPr>
          <w:sz w:val="22"/>
        </w:rPr>
        <w:t xml:space="preserve"> om yrkestransport med mo</w:t>
      </w:r>
      <w:r>
        <w:rPr>
          <w:sz w:val="22"/>
        </w:rPr>
        <w:t xml:space="preserve">torvogn og fartøy (yrkestransportlova) </w:t>
      </w:r>
      <w:hyperlink r:id="rId14" w:anchor="reference/lov/2002-06-21-45/§4" w:history="1">
        <w:r>
          <w:rPr>
            <w:sz w:val="22"/>
          </w:rPr>
          <w:t>§ 4</w:t>
        </w:r>
      </w:hyperlink>
      <w:r>
        <w:rPr>
          <w:sz w:val="22"/>
        </w:rPr>
        <w:t xml:space="preserve">, </w:t>
      </w:r>
      <w:hyperlink r:id="rId15" w:anchor="reference/lov/2002-06-21-45/§6" w:history="1">
        <w:r>
          <w:rPr>
            <w:sz w:val="22"/>
          </w:rPr>
          <w:t>§ 6</w:t>
        </w:r>
      </w:hyperlink>
      <w:r>
        <w:rPr>
          <w:sz w:val="22"/>
        </w:rPr>
        <w:t xml:space="preserve">, </w:t>
      </w:r>
      <w:hyperlink r:id="rId16" w:anchor="reference/lov/2002-06-21-45/§9" w:history="1">
        <w:r>
          <w:rPr>
            <w:sz w:val="22"/>
          </w:rPr>
          <w:t>§ 9</w:t>
        </w:r>
      </w:hyperlink>
      <w:r>
        <w:rPr>
          <w:sz w:val="22"/>
        </w:rPr>
        <w:t xml:space="preserve"> og </w:t>
      </w:r>
      <w:hyperlink r:id="rId17" w:anchor="reference/lov/2002-06-21-45/§10" w:history="1">
        <w:r>
          <w:rPr>
            <w:sz w:val="22"/>
          </w:rPr>
          <w:t>§ 10</w:t>
        </w:r>
      </w:hyperlink>
      <w:r>
        <w:rPr>
          <w:sz w:val="22"/>
        </w:rPr>
        <w:t>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Dersom et kjøretøy som nevnt i første ledd er registrert i utlandet, er kjøretøyet unntatt kravene i forskriften.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</w:t>
      </w:r>
      <w:r>
        <w:rPr>
          <w:sz w:val="18"/>
        </w:rPr>
        <w:t>.</w:t>
      </w:r>
      <w:bookmarkStart w:id="7" w:name="PARAGRAF_3"/>
      <w:bookmarkEnd w:id="5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8" w:name="§3"/>
      <w:bookmarkEnd w:id="8"/>
      <w:r>
        <w:rPr>
          <w:b/>
          <w:sz w:val="22"/>
        </w:rPr>
        <w:t>§ 3.</w:t>
      </w:r>
      <w:r>
        <w:rPr>
          <w:sz w:val="22"/>
        </w:rPr>
        <w:t xml:space="preserve"> </w:t>
      </w:r>
      <w:r>
        <w:rPr>
          <w:b/>
          <w:i/>
          <w:sz w:val="22"/>
        </w:rPr>
        <w:t>Definisjoner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Følgende definisjoner legges til grunn i denne forskriften: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alkolås:</w:t>
            </w:r>
            <w:r>
              <w:rPr>
                <w:sz w:val="22"/>
              </w:rPr>
              <w:t xml:space="preserve"> en teknisk innretning som skal hindre at kjøretøyet kan startes eller settes i bevegelse når føreren har ulovlige verdier av alkohol i luften føreren puster ut, jf. </w:t>
            </w:r>
            <w:hyperlink r:id="rId18" w:anchor="reference/lov/1965-06-18-4/§22" w:history="1">
              <w:r>
                <w:rPr>
                  <w:sz w:val="22"/>
                </w:rPr>
                <w:t>vegtrafikkloven</w:t>
              </w:r>
              <w:r>
                <w:rPr>
                  <w:sz w:val="22"/>
                </w:rPr>
                <w:t xml:space="preserve"> § 22</w:t>
              </w:r>
            </w:hyperlink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arbeid på alkolås:</w:t>
            </w:r>
            <w:r>
              <w:rPr>
                <w:sz w:val="22"/>
              </w:rPr>
              <w:t xml:space="preserve"> installasjon, avinstallasjon, reparasjon og service på alkolås som ikke foretas hos kjøretøyfabrikant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alkolåsverksted:</w:t>
            </w:r>
            <w:r>
              <w:rPr>
                <w:sz w:val="22"/>
              </w:rPr>
              <w:t xml:space="preserve"> virksomhet som har fått godkjenning av regionvegkontoret til å utføre arbeid på alkolås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instal</w:t>
            </w:r>
            <w:r>
              <w:rPr>
                <w:i/>
                <w:sz w:val="22"/>
              </w:rPr>
              <w:t>latør:</w:t>
            </w:r>
            <w:r>
              <w:rPr>
                <w:sz w:val="22"/>
              </w:rPr>
              <w:t xml:space="preserve"> person som fyller vilkårene for å arbeide med alkolås og som er ansatt i et godkjent alkolåsverksted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service:</w:t>
            </w:r>
            <w:r>
              <w:rPr>
                <w:sz w:val="22"/>
              </w:rPr>
              <w:t xml:space="preserve"> kalibrering og vedlikehold av alkolåsen i henhold til produsentens anvisning og kontroll av dennes installasjon i kjøretøyet og av fun</w:t>
            </w:r>
            <w:r>
              <w:rPr>
                <w:sz w:val="22"/>
              </w:rPr>
              <w:t>ksjoner som skal sikre at alkolåsen fungerer korrekt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f)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pusteprøve:</w:t>
            </w:r>
            <w:r>
              <w:rPr>
                <w:sz w:val="22"/>
              </w:rPr>
              <w:t xml:space="preserve"> prøve føreren må avgi ved å puste i alkolåsen for at kjøretøyet skal kunne starte eller settes i bevegelse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g)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monteringsinstruksjon:</w:t>
            </w:r>
            <w:r>
              <w:rPr>
                <w:sz w:val="22"/>
              </w:rPr>
              <w:t xml:space="preserve"> en kjøretøyspesifikk instruksjon på hvordan alkolåsen skal monteres i kjøretøyet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h)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installasjonsbekreftelse:</w:t>
            </w:r>
            <w:r>
              <w:rPr>
                <w:sz w:val="22"/>
              </w:rPr>
              <w:t xml:space="preserve"> dokumentasjon på hvordan alkolåsen er installert i det aktuelle kjøretøyet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i)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kvalitetsstyringssystem:</w:t>
            </w:r>
            <w:r>
              <w:rPr>
                <w:sz w:val="22"/>
              </w:rPr>
              <w:t xml:space="preserve"> systematiske tiltak som dokumenterer a</w:t>
            </w:r>
            <w:r>
              <w:rPr>
                <w:sz w:val="22"/>
              </w:rPr>
              <w:t>t arbeidet utøves i samsvar med krav fastsatt i lov og forskrift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j)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nødfunksjon:</w:t>
            </w:r>
            <w:r>
              <w:rPr>
                <w:sz w:val="22"/>
              </w:rPr>
              <w:t xml:space="preserve"> mulighet for overstyring av alkolåsen gjennom blant annet nødnummer eller tildeling av kode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k)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forbikoplingsfunksjon:</w:t>
            </w:r>
            <w:r>
              <w:rPr>
                <w:sz w:val="22"/>
              </w:rPr>
              <w:t xml:space="preserve"> en bryter eller annen innretning som kan sette alkolåsen ut av funksjon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l)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fristarttid:</w:t>
            </w:r>
            <w:r>
              <w:rPr>
                <w:sz w:val="22"/>
              </w:rPr>
              <w:t xml:space="preserve"> tid fra godkjent pusteprøve er avlagt til det må avlegges ny pusteprøve ved stans av kjøretøyet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506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m)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i/>
                <w:sz w:val="22"/>
              </w:rPr>
              <w:t>transportvirksomhet:</w:t>
            </w:r>
            <w:r>
              <w:rPr>
                <w:sz w:val="22"/>
              </w:rPr>
              <w:t xml:space="preserve"> den som driver persontransport mot vederlag på veg i Norge i henhold til forskriftens </w:t>
            </w:r>
            <w:hyperlink r:id="rId19" w:anchor="reference/forskrift/2018-05-30-777/§2" w:history="1">
              <w:r>
                <w:rPr>
                  <w:sz w:val="22"/>
                </w:rPr>
                <w:t>§ 2</w:t>
              </w:r>
            </w:hyperlink>
            <w:r>
              <w:rPr>
                <w:sz w:val="22"/>
              </w:rPr>
              <w:t>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9" w:name="KAPITTEL_2"/>
      <w:bookmarkEnd w:id="7"/>
      <w:bookmarkEnd w:id="2"/>
    </w:p>
    <w:p w:rsidR="002839EB" w:rsidRDefault="002839EB">
      <w:pPr>
        <w:rPr>
          <w:sz w:val="18"/>
        </w:rPr>
      </w:pPr>
    </w:p>
    <w:p w:rsidR="002839EB" w:rsidRDefault="002839EB">
      <w:pPr>
        <w:rPr>
          <w:sz w:val="18"/>
        </w:rPr>
      </w:pPr>
    </w:p>
    <w:p w:rsidR="002839EB" w:rsidRDefault="006B140B">
      <w:pPr>
        <w:pStyle w:val="Overskrift2"/>
        <w:spacing w:before="0" w:after="0"/>
        <w:rPr>
          <w:sz w:val="18"/>
        </w:rPr>
      </w:pPr>
      <w:r>
        <w:t>Kapittel 2. Krav til alkolås</w:t>
      </w:r>
      <w:bookmarkStart w:id="10" w:name="PARAGRAF_4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11" w:name="§4"/>
      <w:bookmarkEnd w:id="11"/>
      <w:r>
        <w:rPr>
          <w:b/>
          <w:sz w:val="22"/>
        </w:rPr>
        <w:t>§ 4.</w:t>
      </w:r>
      <w:r>
        <w:rPr>
          <w:sz w:val="22"/>
        </w:rPr>
        <w:t xml:space="preserve"> </w:t>
      </w:r>
      <w:r>
        <w:rPr>
          <w:b/>
          <w:i/>
          <w:sz w:val="22"/>
        </w:rPr>
        <w:t xml:space="preserve">Krav til </w:t>
      </w:r>
      <w:r>
        <w:rPr>
          <w:b/>
          <w:i/>
          <w:sz w:val="22"/>
        </w:rPr>
        <w:t>alkolås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Alkolåsen skal ha testsertifikat på at den tilfredsstiller EN 50436-1:2014 eller EN 50436-2:2014 utstedt av et akkreditert laboratorium, eller ha godkjenning fra en EU- eller EØS-medlemsstat for bruk i persontransport mot vederlag på veg.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Kjøretøy </w:t>
      </w:r>
      <w:r>
        <w:rPr>
          <w:sz w:val="22"/>
        </w:rPr>
        <w:t>som allerede har installert alkolås ved ikrafttredelse av denne forskrift kan fortsatt benytte denne så fremt den tilfredsstiller EN 50436-1:2007 eller EN 50436-2:2007 eller nyere standard.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Alkolåsen skal ha komponent-typegodkjenning (E-merket) etter gjeld</w:t>
      </w:r>
      <w:r>
        <w:rPr>
          <w:sz w:val="22"/>
        </w:rPr>
        <w:t>ende regelverk for elektromagnetisk kompatibilitet for kjøretøy.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Arbeid på alkolås skal utføres på et godkjent alkolåsverksted, jf. kapittel 3, eller ved fabrikkmontering gjennom kjøretøyfabrikanten.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12" w:name="PARAGRAF_5"/>
      <w:bookmarkEnd w:id="10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13" w:name="§5"/>
      <w:bookmarkEnd w:id="13"/>
      <w:r>
        <w:rPr>
          <w:b/>
          <w:sz w:val="22"/>
        </w:rPr>
        <w:t>§ 5.</w:t>
      </w:r>
      <w:r>
        <w:rPr>
          <w:sz w:val="22"/>
        </w:rPr>
        <w:t xml:space="preserve"> </w:t>
      </w:r>
      <w:r>
        <w:rPr>
          <w:b/>
          <w:i/>
          <w:sz w:val="22"/>
        </w:rPr>
        <w:t>Alkoholkonsentrasjon i pu</w:t>
      </w:r>
      <w:r>
        <w:rPr>
          <w:b/>
          <w:i/>
          <w:sz w:val="22"/>
        </w:rPr>
        <w:t>steprøven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Alkolåsen skal være innstilt slik at kjøretøyet kun kan startes eller settes i bevegelse om alkoholkonsentrasjonen i førerens pust måles til å være mindre enn 0,10 milligram alkohol per liter luft.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14" w:name="PARAGRAF_6"/>
      <w:bookmarkEnd w:id="12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15" w:name="§6"/>
      <w:bookmarkEnd w:id="15"/>
      <w:r>
        <w:rPr>
          <w:b/>
          <w:sz w:val="22"/>
        </w:rPr>
        <w:t>§ 6.</w:t>
      </w:r>
      <w:r>
        <w:rPr>
          <w:sz w:val="22"/>
        </w:rPr>
        <w:t xml:space="preserve"> </w:t>
      </w:r>
      <w:r>
        <w:rPr>
          <w:b/>
          <w:i/>
          <w:sz w:val="22"/>
        </w:rPr>
        <w:t>Godkjent pusteprø</w:t>
      </w:r>
      <w:r>
        <w:rPr>
          <w:b/>
          <w:i/>
          <w:sz w:val="22"/>
        </w:rPr>
        <w:t>ve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Føreren må avgi en godkjent pusteprøve for å kunne starte eller sette kjøretøyet i bevegelse. Alkolåsen kan ha en fristarttid på maksimalt 30 minutter.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Ved bytte av fører skal den nye føreren av kjøretøyet avgi pusteprøve.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16" w:name="PARAGRAF_7"/>
      <w:bookmarkEnd w:id="14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17" w:name="§7"/>
      <w:bookmarkEnd w:id="17"/>
      <w:r>
        <w:rPr>
          <w:b/>
          <w:sz w:val="22"/>
        </w:rPr>
        <w:t>§ 7.</w:t>
      </w:r>
      <w:r>
        <w:rPr>
          <w:sz w:val="22"/>
        </w:rPr>
        <w:t xml:space="preserve"> </w:t>
      </w:r>
      <w:r>
        <w:rPr>
          <w:b/>
          <w:i/>
          <w:sz w:val="22"/>
        </w:rPr>
        <w:t>Forbikoplingsfunksjon for alkolås</w:t>
      </w:r>
    </w:p>
    <w:p w:rsidR="002839EB" w:rsidRDefault="006B140B">
      <w:pPr>
        <w:spacing w:before="120"/>
        <w:ind w:firstLine="180"/>
        <w:rPr>
          <w:sz w:val="22"/>
        </w:rPr>
      </w:pPr>
      <w:r>
        <w:rPr>
          <w:sz w:val="22"/>
        </w:rPr>
        <w:t>Det skal ikke være en forbikoplingsfunksjon for alkolåsen i kjøretøyet. Dersom strømtilførselen brytes på alkolåsen, skal kjøretøyet ikke kunne settes i bevegelse.</w:t>
      </w:r>
      <w:bookmarkStart w:id="18" w:name="PARAGRAF_8"/>
      <w:bookmarkEnd w:id="16"/>
    </w:p>
    <w:p w:rsidR="002839EB" w:rsidRDefault="002839EB">
      <w:pPr>
        <w:rPr>
          <w:sz w:val="22"/>
        </w:rPr>
      </w:pPr>
    </w:p>
    <w:p w:rsidR="002839EB" w:rsidRDefault="006B140B">
      <w:pPr>
        <w:rPr>
          <w:sz w:val="6"/>
        </w:rPr>
      </w:pPr>
      <w:bookmarkStart w:id="19" w:name="§8"/>
      <w:bookmarkEnd w:id="19"/>
      <w:r>
        <w:rPr>
          <w:b/>
          <w:sz w:val="22"/>
        </w:rPr>
        <w:t>§ 8.</w:t>
      </w:r>
      <w:r>
        <w:rPr>
          <w:sz w:val="22"/>
        </w:rPr>
        <w:t xml:space="preserve"> </w:t>
      </w:r>
      <w:r>
        <w:rPr>
          <w:b/>
          <w:i/>
          <w:sz w:val="22"/>
        </w:rPr>
        <w:t>Nødfunksjon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Dersom alkolåsen har en funksjon for ov</w:t>
      </w:r>
      <w:r>
        <w:rPr>
          <w:sz w:val="22"/>
        </w:rPr>
        <w:t>erstyring i nødsituasjoner, skal denne funksjonen ikke brukes til andre formål og være tidsbegrenset til høyst 8 timer.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20" w:name="PARAGRAF_9"/>
      <w:bookmarkEnd w:id="18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21" w:name="§9"/>
      <w:bookmarkEnd w:id="21"/>
      <w:r>
        <w:rPr>
          <w:b/>
          <w:sz w:val="22"/>
        </w:rPr>
        <w:t>§ 9.</w:t>
      </w:r>
      <w:r>
        <w:rPr>
          <w:sz w:val="22"/>
        </w:rPr>
        <w:t xml:space="preserve"> </w:t>
      </w:r>
      <w:r>
        <w:rPr>
          <w:b/>
          <w:i/>
          <w:sz w:val="22"/>
        </w:rPr>
        <w:t>Service og vedlikehold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Transportvirksomheten skal følge anvisningene til alkolåsprodusenten for service </w:t>
      </w:r>
      <w:r>
        <w:rPr>
          <w:sz w:val="22"/>
        </w:rPr>
        <w:t>og vedlikehold.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22" w:name="PARAGRAF_10"/>
      <w:bookmarkEnd w:id="20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23" w:name="§10"/>
      <w:bookmarkEnd w:id="23"/>
      <w:r>
        <w:rPr>
          <w:b/>
          <w:sz w:val="22"/>
        </w:rPr>
        <w:t>§ 10.</w:t>
      </w:r>
      <w:r>
        <w:rPr>
          <w:sz w:val="22"/>
        </w:rPr>
        <w:t xml:space="preserve"> </w:t>
      </w:r>
      <w:r>
        <w:rPr>
          <w:b/>
          <w:i/>
          <w:sz w:val="22"/>
        </w:rPr>
        <w:t>Forbud mot bruk av kjøretøy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Dersom service på alkolåsen ikke er gjennomført innen 30 dager etter at fristen for service gikk ut, er det ikke tillatt å bruke kjøretøyet til persontransport mot vederlag.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</w:t>
      </w:r>
      <w:r>
        <w:rPr>
          <w:sz w:val="18"/>
        </w:rPr>
        <w:t xml:space="preserve"> kraft 1 jan 2019.</w:t>
      </w:r>
      <w:bookmarkStart w:id="24" w:name="PARAGRAF_11"/>
      <w:bookmarkEnd w:id="22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25" w:name="§11"/>
      <w:bookmarkEnd w:id="25"/>
      <w:r>
        <w:rPr>
          <w:b/>
          <w:sz w:val="22"/>
        </w:rPr>
        <w:t>§ 11.</w:t>
      </w:r>
      <w:r>
        <w:rPr>
          <w:sz w:val="22"/>
        </w:rPr>
        <w:t xml:space="preserve"> </w:t>
      </w:r>
      <w:r>
        <w:rPr>
          <w:b/>
          <w:i/>
          <w:sz w:val="22"/>
        </w:rPr>
        <w:t>Monteringsinstruksjon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Alle alkolåser skal ha en monteringsinstruksjon.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lastRenderedPageBreak/>
        <w:t>For kjøretøy der det ikke er nok å bryte strømmen til startmotoren, skal alkolåsen ha en monteringsinstruksjon for den aktuelle typen kjøretøy fra alkolåsprodu</w:t>
      </w:r>
      <w:r>
        <w:rPr>
          <w:sz w:val="22"/>
        </w:rPr>
        <w:t>senten eller kjøretøyfabrikanten.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Monteringsinstruksjonen etter annet ledd skal inneholde;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opplysninger om hvilken kjøretøymodell og type som instruksjonen gjelder for,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beskrivelse av hvilke kretser i kjøretøyet som må brytes, hvordan tilkoblingspu</w:t>
            </w:r>
            <w:r>
              <w:rPr>
                <w:sz w:val="22"/>
              </w:rPr>
              <w:t>nktene identifiseres og hvilke tilleggskomponenter som skal brukes,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opplysninger om hvem som har utarbeidet instruksjonen,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 xml:space="preserve">bekreftelse fra kjøretøyprodusenten eller kjøretøyimportøren på at tilkoblingen til bilens system ikke kan påvirke andre </w:t>
            </w:r>
            <w:r>
              <w:rPr>
                <w:sz w:val="22"/>
              </w:rPr>
              <w:t>systemer i bilen under kjøring, ved feil eller strømbrudd i alkolåsen.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26" w:name="PARAGRAF_12"/>
      <w:bookmarkEnd w:id="24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27" w:name="§12"/>
      <w:bookmarkEnd w:id="27"/>
      <w:r>
        <w:rPr>
          <w:b/>
          <w:sz w:val="22"/>
        </w:rPr>
        <w:t>§ 12.</w:t>
      </w:r>
      <w:r>
        <w:rPr>
          <w:sz w:val="22"/>
        </w:rPr>
        <w:t xml:space="preserve"> </w:t>
      </w:r>
      <w:r>
        <w:rPr>
          <w:b/>
          <w:i/>
          <w:sz w:val="22"/>
        </w:rPr>
        <w:t>Installasjonsbekreftelse ved ettermontering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Installasjon av en alkolås i kjøretøyet etter denne forskriften skal dokumenteres med en installasjonsbekre</w:t>
      </w:r>
      <w:r>
        <w:rPr>
          <w:sz w:val="22"/>
        </w:rPr>
        <w:t>ftelse fra den personen som har utført installasjonen.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Installasjonsbekreftelsen skal inneholde opplysninger om;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kjøretøyets registreringsnummer,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alkolåsens fabrikant og serienummer,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referanse til anvendt monteringsinstruksjon,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 xml:space="preserve">navn på </w:t>
            </w:r>
            <w:r>
              <w:rPr>
                <w:sz w:val="22"/>
              </w:rPr>
              <w:t>alkolåsverkstedet og installatøren,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dato for installasjonen og neste service.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Alkolåsverkstedet skal sørge for at installasjonsbekreftelsen lagres i 5 år og er tilgjengelig for tilsyn.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Kjøretøy med installasjonsbekreftelse i tråd med denne forskriften skal ikke fremstilles til ny godkjenning etter </w:t>
      </w:r>
      <w:hyperlink r:id="rId20" w:anchor="reference/forskrift/2012-07-05-817" w:history="1">
        <w:r>
          <w:rPr>
            <w:sz w:val="22"/>
          </w:rPr>
          <w:t>forskrift 5. juli 2012 nr. 817</w:t>
        </w:r>
      </w:hyperlink>
      <w:r>
        <w:rPr>
          <w:sz w:val="22"/>
        </w:rPr>
        <w:t xml:space="preserve"> om godkjenning av bil og tilh</w:t>
      </w:r>
      <w:r>
        <w:rPr>
          <w:sz w:val="22"/>
        </w:rPr>
        <w:t>enger til bil (</w:t>
      </w:r>
      <w:hyperlink r:id="rId21" w:anchor="reference/forskrift/2012-07-05-817/§17" w:history="1">
        <w:r>
          <w:rPr>
            <w:sz w:val="22"/>
          </w:rPr>
          <w:t>bilforskriften) § 17</w:t>
        </w:r>
      </w:hyperlink>
      <w:r>
        <w:rPr>
          <w:sz w:val="22"/>
        </w:rPr>
        <w:t xml:space="preserve"> og </w:t>
      </w:r>
      <w:hyperlink r:id="rId22" w:anchor="reference/forskrift/1994-10-04-918" w:history="1">
        <w:r>
          <w:rPr>
            <w:sz w:val="22"/>
          </w:rPr>
          <w:t>forskrift 4. oktober 1994 nr. 918</w:t>
        </w:r>
      </w:hyperlink>
      <w:r>
        <w:rPr>
          <w:sz w:val="22"/>
        </w:rPr>
        <w:t xml:space="preserve"> om tekniske kra</w:t>
      </w:r>
      <w:r>
        <w:rPr>
          <w:sz w:val="22"/>
        </w:rPr>
        <w:t>v og godkjenning av kjøretøy, deler og utstyr (</w:t>
      </w:r>
      <w:hyperlink r:id="rId23" w:anchor="reference/forskrift/1994-10-04-918/§6-9" w:history="1">
        <w:r>
          <w:rPr>
            <w:sz w:val="22"/>
          </w:rPr>
          <w:t>kjøretøyforskriften) § 6-9</w:t>
        </w:r>
      </w:hyperlink>
      <w:r>
        <w:rPr>
          <w:sz w:val="22"/>
        </w:rPr>
        <w:t>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28" w:name="KAPITTEL_3"/>
      <w:bookmarkEnd w:id="26"/>
      <w:bookmarkEnd w:id="9"/>
    </w:p>
    <w:p w:rsidR="002839EB" w:rsidRDefault="002839EB">
      <w:pPr>
        <w:rPr>
          <w:sz w:val="18"/>
        </w:rPr>
      </w:pPr>
    </w:p>
    <w:p w:rsidR="002839EB" w:rsidRDefault="002839EB">
      <w:pPr>
        <w:rPr>
          <w:sz w:val="18"/>
        </w:rPr>
      </w:pPr>
    </w:p>
    <w:p w:rsidR="002839EB" w:rsidRDefault="006B140B">
      <w:pPr>
        <w:pStyle w:val="Overskrift2"/>
        <w:spacing w:before="0" w:after="0"/>
        <w:rPr>
          <w:sz w:val="18"/>
        </w:rPr>
      </w:pPr>
      <w:r>
        <w:t>Kapittel 3. Vilkår og plikter for alkolåsverksteder</w:t>
      </w:r>
      <w:bookmarkStart w:id="29" w:name="PARAGRAF_13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30" w:name="§13"/>
      <w:bookmarkEnd w:id="30"/>
      <w:r>
        <w:rPr>
          <w:b/>
          <w:sz w:val="22"/>
        </w:rPr>
        <w:t>§ 13.</w:t>
      </w:r>
      <w:r>
        <w:rPr>
          <w:sz w:val="22"/>
        </w:rPr>
        <w:t xml:space="preserve"> </w:t>
      </w:r>
      <w:r>
        <w:rPr>
          <w:b/>
          <w:i/>
          <w:sz w:val="22"/>
        </w:rPr>
        <w:t>Godkjenn</w:t>
      </w:r>
      <w:r>
        <w:rPr>
          <w:b/>
          <w:i/>
          <w:sz w:val="22"/>
        </w:rPr>
        <w:t>ing av alkolåsverksted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Virksomheter som oppfyller vilkårene i denne forskriften kan søke regionvegkontoret om godkjenning til å utføre arbeid på alkolås. Dokumentasjon for at vilkårene for å oppnå godkjenning er oppfylt skal vedlegges søknaden om godkjenni</w:t>
      </w:r>
      <w:r>
        <w:rPr>
          <w:sz w:val="22"/>
        </w:rPr>
        <w:t>ng.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Et alkolåsverksted som oppfyller vilkårene i denne forskriften skal få et godkjenningsbevis.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registrerer virksomheten i Statens vegvesen sitt elektroniske register. Registeret inneholder opplysninger om virksomheter som har søkt om go</w:t>
      </w:r>
      <w:r>
        <w:rPr>
          <w:sz w:val="22"/>
        </w:rPr>
        <w:t>dkjenning og alle virksomheter som har eller har hatt godkjenning. Registeret vil inneholde personopplysninger om ansvarlig leder. Registeret skal være i samsvar med det til enhver tid gjeldende regelverk.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31" w:name="PARAGRAF_14"/>
      <w:bookmarkEnd w:id="29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32" w:name="§14"/>
      <w:bookmarkEnd w:id="32"/>
      <w:r>
        <w:rPr>
          <w:b/>
          <w:sz w:val="22"/>
        </w:rPr>
        <w:t>§ 14.</w:t>
      </w:r>
      <w:r>
        <w:rPr>
          <w:sz w:val="22"/>
        </w:rPr>
        <w:t xml:space="preserve"> </w:t>
      </w:r>
      <w:r>
        <w:rPr>
          <w:b/>
          <w:i/>
          <w:sz w:val="22"/>
        </w:rPr>
        <w:t>Gebyr for godkjenn</w:t>
      </w:r>
      <w:r>
        <w:rPr>
          <w:b/>
          <w:i/>
          <w:sz w:val="22"/>
        </w:rPr>
        <w:t>ing av alkolåsverksted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 behandling av en søknad om godkjenning som alkolåsverksted skal alkolåsverkstedet betale et gebyr på 6 040 kroner.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33" w:name="PARAGRAF_15"/>
      <w:bookmarkEnd w:id="31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34" w:name="§15"/>
      <w:bookmarkEnd w:id="34"/>
      <w:r>
        <w:rPr>
          <w:b/>
          <w:sz w:val="22"/>
        </w:rPr>
        <w:t>§ 15.</w:t>
      </w:r>
      <w:r>
        <w:rPr>
          <w:sz w:val="22"/>
        </w:rPr>
        <w:t xml:space="preserve"> </w:t>
      </w:r>
      <w:r>
        <w:rPr>
          <w:b/>
          <w:i/>
          <w:sz w:val="22"/>
        </w:rPr>
        <w:t>Krav til lokaler og utstyr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Alkolåsverkstedets lokaler og teknisk utstyr som benytt</w:t>
      </w:r>
      <w:r>
        <w:rPr>
          <w:sz w:val="22"/>
        </w:rPr>
        <w:t>es til arbeid på alkolåsen skal være egnet til formålet.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Utstyr som brukes ved arbeid på alkolåsen skal ha brukerveiledning og nødvendige spesifikasjoner for kalibrering. Utstyret skal benyttes i tråd med dette.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lastRenderedPageBreak/>
        <w:t xml:space="preserve">Alkolåsverkstedet kan også utføre arbeid på </w:t>
      </w:r>
      <w:r>
        <w:rPr>
          <w:sz w:val="22"/>
        </w:rPr>
        <w:t>alkolåsen andre steder enn i verkstedets lokaler forutsatt at dette gjøres på forsvarlig måte med pliktig utstyr.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35" w:name="PARAGRAF_16"/>
      <w:bookmarkEnd w:id="33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36" w:name="§16"/>
      <w:bookmarkEnd w:id="36"/>
      <w:r>
        <w:rPr>
          <w:b/>
          <w:sz w:val="22"/>
        </w:rPr>
        <w:t>§ 16.</w:t>
      </w:r>
      <w:r>
        <w:rPr>
          <w:sz w:val="22"/>
        </w:rPr>
        <w:t xml:space="preserve"> </w:t>
      </w:r>
      <w:r>
        <w:rPr>
          <w:b/>
          <w:i/>
          <w:sz w:val="22"/>
        </w:rPr>
        <w:t>Krav til ansvarlig leder og stedfortreder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 ethvert alkolåsverksted skal det være utpekt en ansvarlig leder.</w:t>
      </w:r>
      <w:r>
        <w:rPr>
          <w:sz w:val="22"/>
        </w:rPr>
        <w:t xml:space="preserve"> Den ansvarlige lederen skal være kontaktpersonen til regionvegkontoret.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Ansvarlig leder skal til enhver tid besitte de kunnskaper og ferdigheter som er nødvendige for å utføre arbeid på alkolåsen, jf. kompetansekravet som følger av § 17 annet ledd.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Ansvar</w:t>
      </w:r>
      <w:r>
        <w:rPr>
          <w:sz w:val="22"/>
        </w:rPr>
        <w:t>lig leder skal bruke monteringsinstruksjonen ved installasjon av alkolåsen og fylle ut en installasjonsbekreftelse, jf. § 11 og § 12.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Ansvarlig leder skal;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 xml:space="preserve">påse at alt arbeid på alkolås utføres etter kravene i denne forskrift og etter gjeldende </w:t>
            </w:r>
            <w:r>
              <w:rPr>
                <w:sz w:val="22"/>
              </w:rPr>
              <w:t>regelverk,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samordne arbeidet ved alkolåsverkstedet,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veilede installatørene i alkolåsverkstedet,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sørge for at etterutdanning av installatørene gjennomføres ved behov,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påse at alkolåsverkstedet dokumenterer gjennomført opplæring.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Dersom ansvarlig leder skal føre kjøretøyet som arbeidet på alkolåsen utføres på, må vedkommende ha førerkort for aktuell kjøretøyklasse, jf. </w:t>
      </w:r>
      <w:hyperlink r:id="rId24" w:anchor="reference/forskrift/2004-01-19-298" w:history="1">
        <w:r>
          <w:rPr>
            <w:sz w:val="22"/>
          </w:rPr>
          <w:t>forskrift 19. januar 2004 nr. 298</w:t>
        </w:r>
      </w:hyperlink>
      <w:r>
        <w:rPr>
          <w:sz w:val="22"/>
        </w:rPr>
        <w:t xml:space="preserve"> om førerkort m.m. Unntak i </w:t>
      </w:r>
      <w:hyperlink r:id="rId25" w:anchor="reference/forskrift/2004-01-19-298/§12-2" w:history="1">
        <w:r>
          <w:rPr>
            <w:sz w:val="22"/>
          </w:rPr>
          <w:t>førerkortforskriften § 12-2</w:t>
        </w:r>
      </w:hyperlink>
      <w:r>
        <w:rPr>
          <w:sz w:val="22"/>
        </w:rPr>
        <w:t xml:space="preserve"> første ledd gjelder.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Ved ansvarlig leder sitt fravær skal det utpekes en stedfortreder. Stedfortreder skal oppf</w:t>
      </w:r>
      <w:r>
        <w:rPr>
          <w:sz w:val="22"/>
        </w:rPr>
        <w:t>ylle kravene til å være ansvarlig leder. Regionvegkontoret kan gjøre unntak fra kravet til stedfortreder når kravet vil virke urimelig av hensyn til alkolåsverkstedets størrelse.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37" w:name="PARAGRAF_17"/>
      <w:bookmarkEnd w:id="35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38" w:name="§17"/>
      <w:bookmarkEnd w:id="38"/>
      <w:r>
        <w:rPr>
          <w:b/>
          <w:sz w:val="22"/>
        </w:rPr>
        <w:t>§ 17.</w:t>
      </w:r>
      <w:r>
        <w:rPr>
          <w:sz w:val="22"/>
        </w:rPr>
        <w:t xml:space="preserve"> </w:t>
      </w:r>
      <w:r>
        <w:rPr>
          <w:b/>
          <w:i/>
          <w:sz w:val="22"/>
        </w:rPr>
        <w:t>Krav til installatøren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Installatøren skal til</w:t>
      </w:r>
      <w:r>
        <w:rPr>
          <w:sz w:val="22"/>
        </w:rPr>
        <w:t xml:space="preserve"> enhver tid besitte de kunnskaper og ferdigheter som er nødvendige for å utføre arbeid etter denne forskriften.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Installatøren skal ha gjennomgått relevant opplæring om alkolås. Opplæringen skal minst omfatte;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gjeldende regler for utføring av arbeid på a</w:t>
            </w:r>
            <w:r>
              <w:rPr>
                <w:sz w:val="22"/>
              </w:rPr>
              <w:t>lkolås,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alkolåsens funksjon,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arbeidsmetoder og utstyr ved installasjon, avinstallasjon, service og reparasjon,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metoder og utstyr for gjennomføring av arbeid på alkolås,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dokumentasjon for utført installasjon,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f)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 xml:space="preserve">datasikkerhet og </w:t>
            </w:r>
            <w:r>
              <w:rPr>
                <w:sz w:val="22"/>
              </w:rPr>
              <w:t>datahåndtering for alkolåsen.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Installatør skal benytte monteringsinstruksjon ved installasjon av alkolåsen og fylle ut en installasjonsbekreftelse, jf. § 11 og § 12.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Installatøren skal tilfredsstille samme krav til førerkort som ansvarlig leder, jf. § 16</w:t>
      </w:r>
      <w:r>
        <w:rPr>
          <w:sz w:val="22"/>
        </w:rPr>
        <w:t xml:space="preserve"> femte ledd.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39" w:name="PARAGRAF_18"/>
      <w:bookmarkEnd w:id="37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40" w:name="§18"/>
      <w:bookmarkEnd w:id="40"/>
      <w:r>
        <w:rPr>
          <w:b/>
          <w:sz w:val="22"/>
        </w:rPr>
        <w:t>§ 18.</w:t>
      </w:r>
      <w:r>
        <w:rPr>
          <w:sz w:val="22"/>
        </w:rPr>
        <w:t xml:space="preserve"> </w:t>
      </w:r>
      <w:r>
        <w:rPr>
          <w:b/>
          <w:i/>
          <w:sz w:val="22"/>
        </w:rPr>
        <w:t>Krav til kvalitetssystem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Alkolåsverkstedet skal etablere og vedlikeholde et kvalitetssystem for alkolåsverkstedets aktiviteter knyttet til arbeidet med alkolås.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Kvalitetssystemet skal inneholde følgende: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organisering av virksomheten der det fremgår hvem som har ansvar for at arbeidet utføres i samsvar med denne forskriften,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de ansattes kompetanse, herunder prosedyrer for opplæring og vedlikehold av kompetanse,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prosedyrer for kalibrering og period</w:t>
            </w:r>
            <w:r>
              <w:rPr>
                <w:sz w:val="22"/>
              </w:rPr>
              <w:t>isk vedlikehold av utstyr,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 xml:space="preserve">prosedyrer for gjennomføring av arbeid etter denne forskriften herunder dokumentasjon på monteringsinstruksjon, installasjonsbekreftelse, navn på installatøren som utfører arbeid med alkolåsen og hvilket kjøretøy arbeidet </w:t>
            </w:r>
            <w:r>
              <w:rPr>
                <w:sz w:val="22"/>
              </w:rPr>
              <w:t>ble utført på,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prosedyrer for oppbevaring av teknisk informasjon om alkolåsen,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f)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prosedyrer for behandling av elektroniske data tilknyttet alkolåsen,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g)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tilgjengelig nødvendig regelverk.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Kvalitetssystemet skal dokumenteres skriftlig. </w:t>
      </w:r>
      <w:r>
        <w:rPr>
          <w:sz w:val="22"/>
        </w:rPr>
        <w:t>Dokumentasjonen skal til enhver tid være tilgjengelig for tilsynsmyndigheten.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41" w:name="PARAGRAF_19"/>
      <w:bookmarkEnd w:id="39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42" w:name="§19"/>
      <w:bookmarkEnd w:id="42"/>
      <w:r>
        <w:rPr>
          <w:b/>
          <w:sz w:val="22"/>
        </w:rPr>
        <w:t>§ 19.</w:t>
      </w:r>
      <w:r>
        <w:rPr>
          <w:sz w:val="22"/>
        </w:rPr>
        <w:t xml:space="preserve"> </w:t>
      </w:r>
      <w:r>
        <w:rPr>
          <w:b/>
          <w:i/>
          <w:sz w:val="22"/>
        </w:rPr>
        <w:t>Ansvar for informasjon om bruk av alkolås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Alkolåsverkstedet skal sørge for at transportvirksomheten får en skriftlig brukerveiledning for alkolåse</w:t>
      </w:r>
      <w:r>
        <w:rPr>
          <w:sz w:val="22"/>
        </w:rPr>
        <w:t>n. Veiledningen skal beskrive hvordan alkolåsen fungerer, hvordan den skal brukes og når service skal utføres.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Installatør eller ansvarlig leder for alkolåsverkstedet skal sørge for at transportvirksomheten umiddelbart etter at alkolåsen er installert i kj</w:t>
      </w:r>
      <w:r>
        <w:rPr>
          <w:sz w:val="22"/>
        </w:rPr>
        <w:t>øretøyet, informeres muntlig om alkolåsens funksjon og instrueres i hvordan den skal brukes.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43" w:name="PARAGRAF_20"/>
      <w:bookmarkEnd w:id="41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44" w:name="§20"/>
      <w:bookmarkEnd w:id="44"/>
      <w:r>
        <w:rPr>
          <w:b/>
          <w:sz w:val="22"/>
        </w:rPr>
        <w:t>§ 20.</w:t>
      </w:r>
      <w:r>
        <w:rPr>
          <w:sz w:val="22"/>
        </w:rPr>
        <w:t xml:space="preserve"> </w:t>
      </w:r>
      <w:r>
        <w:rPr>
          <w:b/>
          <w:i/>
          <w:sz w:val="22"/>
        </w:rPr>
        <w:t>Krav til utstyr og sikkerhet for datahåndtering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Alkolåsverkstedet har ansvaret for at dataoverføring fra alkolåsen skjer med formål</w:t>
      </w:r>
      <w:r>
        <w:rPr>
          <w:sz w:val="22"/>
        </w:rPr>
        <w:t>stjenlig utstyr og at dataoverføringer skjer på en slik måte at sikkerhetselementene som beskytter dataenes integritet og ekthet er intakte.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Resultat av alkolåsens pusteprøver skal ikke lagres, lastes ned, eller leses.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Tekniske data fra alkolåsen kan bare </w:t>
      </w:r>
      <w:r>
        <w:rPr>
          <w:sz w:val="22"/>
        </w:rPr>
        <w:t>lastes ned, leses og lagres i den grad det er nødvendig for å utføre service. Data som er lastet ned fra alkolåsen slettes umiddelbart etter at nødvendig service og vedlikehold er gjennomført.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45" w:name="KAPITTEL_4"/>
      <w:bookmarkEnd w:id="43"/>
      <w:bookmarkEnd w:id="28"/>
    </w:p>
    <w:p w:rsidR="002839EB" w:rsidRDefault="002839EB">
      <w:pPr>
        <w:rPr>
          <w:sz w:val="18"/>
        </w:rPr>
      </w:pPr>
    </w:p>
    <w:p w:rsidR="002839EB" w:rsidRDefault="002839EB">
      <w:pPr>
        <w:rPr>
          <w:sz w:val="18"/>
        </w:rPr>
      </w:pPr>
    </w:p>
    <w:p w:rsidR="002839EB" w:rsidRDefault="006B140B">
      <w:pPr>
        <w:pStyle w:val="Overskrift2"/>
        <w:spacing w:before="0" w:after="0"/>
        <w:rPr>
          <w:sz w:val="18"/>
        </w:rPr>
      </w:pPr>
      <w:r>
        <w:t>Kapittel 4. Tilsyn med og reaksjoner</w:t>
      </w:r>
      <w:r>
        <w:t xml:space="preserve"> mot alkolåsverksteder</w:t>
      </w:r>
      <w:bookmarkStart w:id="46" w:name="PARAGRAF_21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47" w:name="§21"/>
      <w:bookmarkEnd w:id="47"/>
      <w:r>
        <w:rPr>
          <w:b/>
          <w:sz w:val="22"/>
        </w:rPr>
        <w:t>§ 21.</w:t>
      </w:r>
      <w:r>
        <w:rPr>
          <w:sz w:val="22"/>
        </w:rPr>
        <w:t xml:space="preserve"> </w:t>
      </w:r>
      <w:r>
        <w:rPr>
          <w:b/>
          <w:i/>
          <w:sz w:val="22"/>
        </w:rPr>
        <w:t>Tilsyn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fører tilsyn med virksomheter som utfører arbeid på alkolåser og at de etterlever denne forskriften.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Alkolåsverkstedet plikter å gi regionvegkontoret adgang til lokalene, og bistå slik det ellers er </w:t>
      </w:r>
      <w:r>
        <w:rPr>
          <w:sz w:val="22"/>
        </w:rPr>
        <w:t>nødvendig for å gjennomføre tilsyn, herunder fremvise og utlevere til kontroll utstyr og dokumenter som angår arbeid på alkolås og virksomheten for øvrig.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kan som en del av tilsynet utføre stikkprøvekontroll på arbeidet med alkolås. Derso</w:t>
      </w:r>
      <w:r>
        <w:rPr>
          <w:sz w:val="22"/>
        </w:rPr>
        <w:t>m det er nødvendig for å utføre tilsynsoppgavene kan regionvegkontoret også innkalle kjøretøyet til stikkprøvekontroll.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48" w:name="PARAGRAF_22"/>
      <w:bookmarkEnd w:id="46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49" w:name="§22"/>
      <w:bookmarkEnd w:id="49"/>
      <w:r>
        <w:rPr>
          <w:b/>
          <w:sz w:val="22"/>
        </w:rPr>
        <w:t>§ 22.</w:t>
      </w:r>
      <w:r>
        <w:rPr>
          <w:sz w:val="22"/>
        </w:rPr>
        <w:t xml:space="preserve"> </w:t>
      </w:r>
      <w:r>
        <w:rPr>
          <w:b/>
          <w:i/>
          <w:sz w:val="22"/>
        </w:rPr>
        <w:t>Reaksjoner mot alkolåsverksteder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Som ledd i regionvegkontorets tilsyn kan alkolåsverkstedet gis pålegg o</w:t>
      </w:r>
      <w:r>
        <w:rPr>
          <w:sz w:val="22"/>
        </w:rPr>
        <w:t>m retting som er nødvendig for å sikre at arbeidet utføres i samsvar med forskriften.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Dersom pålegg om retting ikke er foretatt innen gitt frist, kan regionvegkontoret fastsette en tvangsmulkt. Tvangsmulkten kan fastsettes som et engangsbeløp eller som en </w:t>
      </w:r>
      <w:r>
        <w:rPr>
          <w:sz w:val="22"/>
        </w:rPr>
        <w:t xml:space="preserve">mulkt som løper fra det tidspunktet en gitt frist </w:t>
      </w:r>
      <w:r>
        <w:rPr>
          <w:sz w:val="22"/>
        </w:rPr>
        <w:lastRenderedPageBreak/>
        <w:t xml:space="preserve">for retting er overskredet og til retting er foretatt. Endelig vedtak om betaling av tvangsmulkt er tvangsgrunnlag for utlegg, jf. </w:t>
      </w:r>
      <w:hyperlink r:id="rId26" w:anchor="reference/lov/1992-06-26-86/§7-2" w:history="1">
        <w:r>
          <w:rPr>
            <w:sz w:val="22"/>
          </w:rPr>
          <w:t>tvangsfullbyrdelsesloven § 7-2</w:t>
        </w:r>
      </w:hyperlink>
      <w:r>
        <w:rPr>
          <w:sz w:val="22"/>
        </w:rPr>
        <w:t>. Tvangsmulkt inndrives av regionvegkontoret.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For mindre vesentlige forhold kan det gis advarsel.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kan midlertidig eller permanent tilbakekalle alkolåsverkstedets godkjenning dersom det avdekkes: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vesentlige eller gjentatte avvik fra kravene til lokaler, utstyr, kompetanse, kvalitetsstyring og datahåndtering,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vesentlige eller gjentatte avvik fra kravene til installasjon og dokumentasjon,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at pålegg ikke etterkommes eller at skriftlig advars</w:t>
            </w:r>
            <w:r>
              <w:rPr>
                <w:sz w:val="22"/>
              </w:rPr>
              <w:t>el ikke tas til følge,</w:t>
            </w:r>
          </w:p>
        </w:tc>
      </w:tr>
    </w:tbl>
    <w:p w:rsidR="002839EB" w:rsidRDefault="002839EB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3"/>
      </w:tblGrid>
      <w:tr w:rsidR="002839EB">
        <w:tc>
          <w:tcPr>
            <w:tcW w:w="360" w:type="dxa"/>
            <w:noWrap/>
            <w:tcMar>
              <w:right w:w="80" w:type="dxa"/>
            </w:tcMar>
          </w:tcPr>
          <w:p w:rsidR="002839EB" w:rsidRDefault="006B140B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noWrap/>
            <w:tcMar>
              <w:right w:w="80" w:type="dxa"/>
            </w:tcMar>
          </w:tcPr>
          <w:p w:rsidR="002839EB" w:rsidRDefault="006B140B">
            <w:pPr>
              <w:rPr>
                <w:sz w:val="22"/>
              </w:rPr>
            </w:pPr>
            <w:r>
              <w:rPr>
                <w:sz w:val="22"/>
              </w:rPr>
              <w:t>at alkolåsverkstedet unndrar seg tilsyn.</w:t>
            </w:r>
          </w:p>
        </w:tc>
      </w:tr>
    </w:tbl>
    <w:p w:rsidR="002839EB" w:rsidRDefault="002839EB">
      <w:pPr>
        <w:rPr>
          <w:sz w:val="6"/>
        </w:rPr>
      </w:pP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I vurderingen av om godkjenningen skal tilbakekalles skal det tas hensyn til i hvilken grad verkstedets administrative ledelse kan bebreides for overtredelsen.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Første gangs </w:t>
      </w:r>
      <w:r>
        <w:rPr>
          <w:sz w:val="22"/>
        </w:rPr>
        <w:t>tilbakekalling av godkjenningen skal normalt gjelde fra tre til seks måneder, andre gangs tilbakekalling fra seks til tolv måneder og tredje gangs tilbakekalling for minst tolv måneder. I særlige tilfeller kan godkjenningen tilbakekalles for alltid.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Ved ti</w:t>
      </w:r>
      <w:r>
        <w:rPr>
          <w:sz w:val="22"/>
        </w:rPr>
        <w:t>lbakekall av en godkjenning av alkolåsverkstedet skal regionvegkontoret tilbakekalle godkjenningsbeviset som nevnt i § 13 annet ledd.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0" w:name="KAPITTEL_5"/>
      <w:bookmarkEnd w:id="48"/>
      <w:bookmarkEnd w:id="45"/>
    </w:p>
    <w:p w:rsidR="002839EB" w:rsidRDefault="002839EB">
      <w:pPr>
        <w:rPr>
          <w:sz w:val="18"/>
        </w:rPr>
      </w:pPr>
    </w:p>
    <w:p w:rsidR="002839EB" w:rsidRDefault="002839EB">
      <w:pPr>
        <w:rPr>
          <w:sz w:val="18"/>
        </w:rPr>
      </w:pPr>
    </w:p>
    <w:p w:rsidR="002839EB" w:rsidRDefault="006B140B">
      <w:pPr>
        <w:pStyle w:val="Overskrift2"/>
        <w:spacing w:before="0" w:after="0"/>
        <w:rPr>
          <w:sz w:val="18"/>
        </w:rPr>
      </w:pPr>
      <w:r>
        <w:t>Kapittel 5. Avsluttende bestemmelser</w:t>
      </w:r>
      <w:bookmarkStart w:id="51" w:name="PARAGRAF_23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52" w:name="§23"/>
      <w:bookmarkEnd w:id="52"/>
      <w:r>
        <w:rPr>
          <w:b/>
          <w:sz w:val="22"/>
        </w:rPr>
        <w:t>§ 23.</w:t>
      </w:r>
      <w:r>
        <w:rPr>
          <w:sz w:val="22"/>
        </w:rPr>
        <w:t xml:space="preserve"> </w:t>
      </w:r>
      <w:r>
        <w:rPr>
          <w:b/>
          <w:i/>
          <w:sz w:val="22"/>
        </w:rPr>
        <w:t>Kontroll langs veg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og politiet ka</w:t>
      </w:r>
      <w:r>
        <w:rPr>
          <w:sz w:val="22"/>
        </w:rPr>
        <w:t>n gjennomføre kontroll langs veg av alkolås i kjøretøy som nevnt i § 2 første ledd. Kontroll kan omfatte alkolåsen med tilhørende komponenter.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kan gi transportvirksomheten pålegg om retting, som disse straks plikter å etterkomme. Bestemme</w:t>
      </w:r>
      <w:r>
        <w:rPr>
          <w:sz w:val="22"/>
        </w:rPr>
        <w:t xml:space="preserve">lsene om kontroll lang veg i </w:t>
      </w:r>
      <w:hyperlink r:id="rId27" w:anchor="reference/lov/1965-06-18-4" w:history="1">
        <w:r>
          <w:rPr>
            <w:sz w:val="22"/>
          </w:rPr>
          <w:t>lov 18. juni 1965 nr. 4</w:t>
        </w:r>
      </w:hyperlink>
      <w:r>
        <w:rPr>
          <w:sz w:val="22"/>
        </w:rPr>
        <w:t xml:space="preserve"> om vegtrafikk gjelder for øvrig så langt de passer.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3" w:name="PARAGRAF_24"/>
      <w:bookmarkEnd w:id="51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54" w:name="§24"/>
      <w:bookmarkEnd w:id="54"/>
      <w:r>
        <w:rPr>
          <w:b/>
          <w:sz w:val="22"/>
        </w:rPr>
        <w:t>§ 24.</w:t>
      </w:r>
      <w:r>
        <w:rPr>
          <w:sz w:val="22"/>
        </w:rPr>
        <w:t xml:space="preserve"> </w:t>
      </w:r>
      <w:r>
        <w:rPr>
          <w:b/>
          <w:i/>
          <w:sz w:val="22"/>
        </w:rPr>
        <w:t>Overtredelsesgebyr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Regionvegkontoret kan </w:t>
      </w:r>
      <w:r>
        <w:rPr>
          <w:sz w:val="22"/>
        </w:rPr>
        <w:t>ilegge transportvirksomheten overtredelsesgebyr på kroner 8 000 dersom kjøretøyet som nevnt i § 2 første ledd ikke har installert alkolås.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Bestemmelsene i </w:t>
      </w:r>
      <w:hyperlink r:id="rId28" w:anchor="reference/forskrift/1993-09-17-855" w:history="1">
        <w:r>
          <w:rPr>
            <w:sz w:val="22"/>
          </w:rPr>
          <w:t>forskrift 17. septembe</w:t>
        </w:r>
        <w:r>
          <w:rPr>
            <w:sz w:val="22"/>
          </w:rPr>
          <w:t>r 1993 nr. 855</w:t>
        </w:r>
      </w:hyperlink>
      <w:r>
        <w:rPr>
          <w:sz w:val="22"/>
        </w:rPr>
        <w:t xml:space="preserve"> om gebyr for visse overtredelser av </w:t>
      </w:r>
      <w:hyperlink r:id="rId29" w:anchor="reference/lov/1965-06-18-4/§3" w:history="1">
        <w:r>
          <w:rPr>
            <w:sz w:val="22"/>
          </w:rPr>
          <w:t>vegtrafikkloven § 3</w:t>
        </w:r>
      </w:hyperlink>
      <w:r>
        <w:rPr>
          <w:sz w:val="22"/>
        </w:rPr>
        <w:t xml:space="preserve">, </w:t>
      </w:r>
      <w:hyperlink r:id="rId30" w:anchor="reference/lov/1965-06-18-4/§5" w:history="1">
        <w:r>
          <w:rPr>
            <w:sz w:val="22"/>
          </w:rPr>
          <w:t>§ 5</w:t>
        </w:r>
      </w:hyperlink>
      <w:r>
        <w:rPr>
          <w:sz w:val="22"/>
        </w:rPr>
        <w:t xml:space="preserve">, </w:t>
      </w:r>
      <w:hyperlink r:id="rId31" w:anchor="reference/lov/1965-06-18-4/§6" w:history="1">
        <w:r>
          <w:rPr>
            <w:sz w:val="22"/>
          </w:rPr>
          <w:t>§ 6</w:t>
        </w:r>
      </w:hyperlink>
      <w:r>
        <w:rPr>
          <w:sz w:val="22"/>
        </w:rPr>
        <w:t xml:space="preserve">, </w:t>
      </w:r>
      <w:hyperlink r:id="rId32" w:anchor="reference/lov/1965-06-18-4/§7" w:history="1">
        <w:r>
          <w:rPr>
            <w:sz w:val="22"/>
          </w:rPr>
          <w:t>§ 7</w:t>
        </w:r>
      </w:hyperlink>
      <w:r>
        <w:rPr>
          <w:sz w:val="22"/>
        </w:rPr>
        <w:t xml:space="preserve">, </w:t>
      </w:r>
      <w:hyperlink r:id="rId33" w:anchor="reference/lov/1965-06-18-4/§8" w:history="1">
        <w:r>
          <w:rPr>
            <w:sz w:val="22"/>
          </w:rPr>
          <w:t>§ 8</w:t>
        </w:r>
      </w:hyperlink>
      <w:r>
        <w:rPr>
          <w:sz w:val="22"/>
        </w:rPr>
        <w:t xml:space="preserve"> og </w:t>
      </w:r>
      <w:hyperlink r:id="rId34" w:anchor="reference/lov/1965-06-18-4/§9" w:history="1">
        <w:r>
          <w:rPr>
            <w:sz w:val="22"/>
          </w:rPr>
          <w:t>§ 9</w:t>
        </w:r>
      </w:hyperlink>
      <w:r>
        <w:rPr>
          <w:sz w:val="22"/>
        </w:rPr>
        <w:t xml:space="preserve"> gjelder så langt de passer.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Overtredelsesgebyr ilegges ikke dersom overtredelsen fremstår som særlig graverende eller av andre særlige grunner bør følges opp ved vanlig straffeprosessuell forfølgning etter</w:t>
      </w:r>
      <w:r>
        <w:rPr>
          <w:sz w:val="22"/>
        </w:rPr>
        <w:t xml:space="preserve"> </w:t>
      </w:r>
      <w:hyperlink r:id="rId35" w:anchor="reference/lov/1965-06-18-4/§31" w:history="1">
        <w:r>
          <w:rPr>
            <w:sz w:val="22"/>
          </w:rPr>
          <w:t>vegtrafikkloven § 31</w:t>
        </w:r>
      </w:hyperlink>
      <w:r>
        <w:rPr>
          <w:sz w:val="22"/>
        </w:rPr>
        <w:t xml:space="preserve"> første ledd.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5" w:name="PARAGRAF_25"/>
      <w:bookmarkEnd w:id="53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56" w:name="§25"/>
      <w:bookmarkEnd w:id="56"/>
      <w:r>
        <w:rPr>
          <w:b/>
          <w:sz w:val="22"/>
        </w:rPr>
        <w:t>§ 25.</w:t>
      </w:r>
      <w:r>
        <w:rPr>
          <w:sz w:val="22"/>
        </w:rPr>
        <w:t xml:space="preserve"> </w:t>
      </w:r>
      <w:r>
        <w:rPr>
          <w:b/>
          <w:i/>
          <w:sz w:val="22"/>
        </w:rPr>
        <w:t>Klage på vedtak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Vedtak fattet i medhold av denne forskriften kan påklages i henhold til </w:t>
      </w:r>
      <w:hyperlink r:id="rId36" w:anchor="reference/lov/1967-02-10" w:history="1">
        <w:r>
          <w:rPr>
            <w:sz w:val="22"/>
          </w:rPr>
          <w:t>lov 10. februar 1967</w:t>
        </w:r>
      </w:hyperlink>
      <w:r>
        <w:rPr>
          <w:sz w:val="22"/>
        </w:rPr>
        <w:t xml:space="preserve"> om behandlingsmåten i forvaltningssaker (forvaltningsloven).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7" w:name="PARAGRAF_26"/>
      <w:bookmarkEnd w:id="55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58" w:name="§26"/>
      <w:bookmarkEnd w:id="58"/>
      <w:r>
        <w:rPr>
          <w:b/>
          <w:sz w:val="22"/>
        </w:rPr>
        <w:t>§ 26.</w:t>
      </w:r>
      <w:r>
        <w:rPr>
          <w:sz w:val="22"/>
        </w:rPr>
        <w:t xml:space="preserve"> </w:t>
      </w:r>
      <w:r>
        <w:rPr>
          <w:b/>
          <w:i/>
          <w:sz w:val="22"/>
        </w:rPr>
        <w:t>Unntak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Vegdirektoratet kan gjøre unntak fra denne forskriften dersom det foreligger særlig tu</w:t>
      </w:r>
      <w:r>
        <w:rPr>
          <w:sz w:val="22"/>
        </w:rPr>
        <w:t>ngtveiende grunner.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>Regionvegkontoret kan, i enkelttilfelle, gjøre unntak fra § 15, § 16 og § 17 i denne forskriften, når det foreligger særlig tungtveiende grunner.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59" w:name="PARAGRAF_27"/>
      <w:bookmarkEnd w:id="57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60" w:name="§27"/>
      <w:bookmarkEnd w:id="60"/>
      <w:r>
        <w:rPr>
          <w:b/>
          <w:sz w:val="22"/>
        </w:rPr>
        <w:lastRenderedPageBreak/>
        <w:t>§ 27.</w:t>
      </w:r>
      <w:r>
        <w:rPr>
          <w:sz w:val="22"/>
        </w:rPr>
        <w:t xml:space="preserve"> </w:t>
      </w:r>
      <w:r>
        <w:rPr>
          <w:b/>
          <w:i/>
          <w:sz w:val="22"/>
        </w:rPr>
        <w:t>Overgangsordninger</w:t>
      </w:r>
    </w:p>
    <w:p w:rsidR="002839EB" w:rsidRDefault="006B140B">
      <w:pPr>
        <w:spacing w:before="120"/>
        <w:ind w:firstLine="180"/>
        <w:rPr>
          <w:sz w:val="6"/>
        </w:rPr>
      </w:pPr>
      <w:r>
        <w:rPr>
          <w:sz w:val="22"/>
        </w:rPr>
        <w:t xml:space="preserve">Kjøretøy som er registrert før ikrafttredelse av forskriften må etter </w:t>
      </w:r>
      <w:hyperlink r:id="rId37" w:anchor="reference/forskrift/2018-05-30-777/§2" w:history="1">
        <w:r>
          <w:rPr>
            <w:sz w:val="22"/>
          </w:rPr>
          <w:t>§ 2</w:t>
        </w:r>
      </w:hyperlink>
      <w:r>
        <w:rPr>
          <w:sz w:val="22"/>
        </w:rPr>
        <w:t xml:space="preserve"> første ledd ha installert alkolås senest innen 1. januar 2024.</w:t>
      </w:r>
    </w:p>
    <w:p w:rsidR="002839EB" w:rsidRDefault="006B140B">
      <w:pPr>
        <w:spacing w:before="120"/>
        <w:ind w:firstLine="180"/>
        <w:rPr>
          <w:sz w:val="18"/>
        </w:rPr>
      </w:pPr>
      <w:r>
        <w:rPr>
          <w:sz w:val="18"/>
        </w:rPr>
        <w:t>Trer i kraft 1 jan 2019.</w:t>
      </w:r>
      <w:bookmarkStart w:id="61" w:name="PARAGRAF_28"/>
      <w:bookmarkEnd w:id="59"/>
    </w:p>
    <w:p w:rsidR="002839EB" w:rsidRDefault="002839EB">
      <w:pPr>
        <w:rPr>
          <w:sz w:val="18"/>
        </w:rPr>
      </w:pPr>
    </w:p>
    <w:p w:rsidR="002839EB" w:rsidRDefault="006B140B">
      <w:pPr>
        <w:rPr>
          <w:sz w:val="6"/>
        </w:rPr>
      </w:pPr>
      <w:bookmarkStart w:id="62" w:name="§28"/>
      <w:bookmarkEnd w:id="62"/>
      <w:r>
        <w:rPr>
          <w:b/>
          <w:sz w:val="22"/>
        </w:rPr>
        <w:t>§ 28.</w:t>
      </w:r>
      <w:r>
        <w:rPr>
          <w:sz w:val="22"/>
        </w:rPr>
        <w:t xml:space="preserve"> </w:t>
      </w:r>
      <w:r>
        <w:rPr>
          <w:b/>
          <w:i/>
          <w:sz w:val="22"/>
        </w:rPr>
        <w:t>Ik</w:t>
      </w:r>
      <w:r>
        <w:rPr>
          <w:b/>
          <w:i/>
          <w:sz w:val="22"/>
        </w:rPr>
        <w:t>rafttredelse</w:t>
      </w:r>
    </w:p>
    <w:p w:rsidR="002839EB" w:rsidRDefault="006B140B">
      <w:pPr>
        <w:spacing w:before="120"/>
        <w:ind w:firstLine="180"/>
        <w:rPr>
          <w:sz w:val="22"/>
        </w:rPr>
      </w:pPr>
      <w:r>
        <w:rPr>
          <w:sz w:val="22"/>
        </w:rPr>
        <w:t>Forskriften trer i kraft 1. januar 2019.</w:t>
      </w:r>
      <w:bookmarkEnd w:id="61"/>
      <w:bookmarkEnd w:id="50"/>
      <w:bookmarkEnd w:id="1"/>
    </w:p>
    <w:sectPr w:rsidR="002839EB">
      <w:headerReference w:type="default" r:id="rId38"/>
      <w:footerReference w:type="default" r:id="rId39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40B">
      <w:r>
        <w:separator/>
      </w:r>
    </w:p>
  </w:endnote>
  <w:endnote w:type="continuationSeparator" w:id="0">
    <w:p w:rsidR="00000000" w:rsidRDefault="006B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EB" w:rsidRDefault="006B140B">
    <w:pPr>
      <w:jc w:val="center"/>
      <w:rPr>
        <w:sz w:val="22"/>
      </w:rPr>
    </w:pPr>
    <w:r>
      <w:rPr>
        <w:sz w:val="22"/>
      </w:rPr>
      <w:t xml:space="preserve"> </w:t>
    </w:r>
  </w:p>
  <w:p w:rsidR="002839EB" w:rsidRDefault="006B140B">
    <w:pPr>
      <w:jc w:val="center"/>
      <w:rPr>
        <w:sz w:val="22"/>
      </w:rPr>
    </w:pPr>
    <w:r>
      <w:rPr>
        <w:sz w:val="22"/>
      </w:rPr>
      <w:t>Forskrift om alkolås, alkolåsverksteder mv.</w:t>
    </w:r>
  </w:p>
  <w:p w:rsidR="002839EB" w:rsidRDefault="006B140B">
    <w:pPr>
      <w:jc w:val="center"/>
      <w:rPr>
        <w:sz w:val="22"/>
      </w:rPr>
    </w:pPr>
    <w:r>
      <w:rPr>
        <w:sz w:val="22"/>
      </w:rPr>
      <w:t xml:space="preserve">Side </w: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140B">
      <w:r>
        <w:separator/>
      </w:r>
    </w:p>
  </w:footnote>
  <w:footnote w:type="continuationSeparator" w:id="0">
    <w:p w:rsidR="00000000" w:rsidRDefault="006B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EB" w:rsidRDefault="006B140B">
    <w:pPr>
      <w:jc w:val="right"/>
      <w:rPr>
        <w:sz w:val="22"/>
      </w:rPr>
    </w:pPr>
    <w:r>
      <w:rPr>
        <w:sz w:val="22"/>
      </w:rPr>
      <w:t>Utskrift fra Lovdata - 28.06.2018 14:14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EB"/>
    <w:rsid w:val="002839EB"/>
    <w:rsid w:val="006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A7F78-31B9-4A5D-B3D2-AB1C9D33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pro" TargetMode="External"/><Relationship Id="rId13" Type="http://schemas.openxmlformats.org/officeDocument/2006/relationships/hyperlink" Target="http://www.lovdata.no/pro" TargetMode="External"/><Relationship Id="rId18" Type="http://schemas.openxmlformats.org/officeDocument/2006/relationships/hyperlink" Target="http://www.lovdata.no/pro" TargetMode="External"/><Relationship Id="rId26" Type="http://schemas.openxmlformats.org/officeDocument/2006/relationships/hyperlink" Target="http://www.lovdata.no/pro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lovdata.no/pro" TargetMode="External"/><Relationship Id="rId34" Type="http://schemas.openxmlformats.org/officeDocument/2006/relationships/hyperlink" Target="http://www.lovdata.no/pro" TargetMode="External"/><Relationship Id="rId7" Type="http://schemas.openxmlformats.org/officeDocument/2006/relationships/hyperlink" Target="http://www.lovdata.no/pro" TargetMode="External"/><Relationship Id="rId12" Type="http://schemas.openxmlformats.org/officeDocument/2006/relationships/hyperlink" Target="http://www.lovdata.no/pro" TargetMode="External"/><Relationship Id="rId17" Type="http://schemas.openxmlformats.org/officeDocument/2006/relationships/hyperlink" Target="http://www.lovdata.no/pro" TargetMode="External"/><Relationship Id="rId25" Type="http://schemas.openxmlformats.org/officeDocument/2006/relationships/hyperlink" Target="http://www.lovdata.no/pro" TargetMode="External"/><Relationship Id="rId33" Type="http://schemas.openxmlformats.org/officeDocument/2006/relationships/hyperlink" Target="http://www.lovdata.no/pro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lovdata.no/pro" TargetMode="External"/><Relationship Id="rId20" Type="http://schemas.openxmlformats.org/officeDocument/2006/relationships/hyperlink" Target="http://www.lovdata.no/pro" TargetMode="External"/><Relationship Id="rId29" Type="http://schemas.openxmlformats.org/officeDocument/2006/relationships/hyperlink" Target="http://www.lovdata.no/pr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24" Type="http://schemas.openxmlformats.org/officeDocument/2006/relationships/hyperlink" Target="http://www.lovdata.no/pro" TargetMode="External"/><Relationship Id="rId32" Type="http://schemas.openxmlformats.org/officeDocument/2006/relationships/hyperlink" Target="http://www.lovdata.no/pro" TargetMode="External"/><Relationship Id="rId37" Type="http://schemas.openxmlformats.org/officeDocument/2006/relationships/hyperlink" Target="http://www.lovdata.no/pro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ovdata.no/pro" TargetMode="External"/><Relationship Id="rId23" Type="http://schemas.openxmlformats.org/officeDocument/2006/relationships/hyperlink" Target="http://www.lovdata.no/pro" TargetMode="External"/><Relationship Id="rId28" Type="http://schemas.openxmlformats.org/officeDocument/2006/relationships/hyperlink" Target="http://www.lovdata.no/pro" TargetMode="External"/><Relationship Id="rId36" Type="http://schemas.openxmlformats.org/officeDocument/2006/relationships/hyperlink" Target="http://www.lovdata.no/pro" TargetMode="External"/><Relationship Id="rId10" Type="http://schemas.openxmlformats.org/officeDocument/2006/relationships/hyperlink" Target="http://www.lovdata.no/pro" TargetMode="External"/><Relationship Id="rId19" Type="http://schemas.openxmlformats.org/officeDocument/2006/relationships/hyperlink" Target="http://www.lovdata.no/pro" TargetMode="External"/><Relationship Id="rId31" Type="http://schemas.openxmlformats.org/officeDocument/2006/relationships/hyperlink" Target="http://www.lovdata.no/p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hyperlink" Target="http://www.lovdata.no/pro" TargetMode="External"/><Relationship Id="rId22" Type="http://schemas.openxmlformats.org/officeDocument/2006/relationships/hyperlink" Target="http://www.lovdata.no/pro" TargetMode="External"/><Relationship Id="rId27" Type="http://schemas.openxmlformats.org/officeDocument/2006/relationships/hyperlink" Target="http://www.lovdata.no/pro" TargetMode="External"/><Relationship Id="rId30" Type="http://schemas.openxmlformats.org/officeDocument/2006/relationships/hyperlink" Target="http://www.lovdata.no/pro" TargetMode="External"/><Relationship Id="rId35" Type="http://schemas.openxmlformats.org/officeDocument/2006/relationships/hyperlink" Target="http://www.lovdata.no/pr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3058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Forskrift om alkolås, alkolåsverksteder mv.</vt:lpstr>
      <vt:lpstr/>
    </vt:vector>
  </TitlesOfParts>
  <Company>Stiftelsen Lovdata</Company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alkolås, alkolåsverksteder mv.</dc:title>
  <dc:subject>Forskrift om alkolås, alkolåsverksteder mv.</dc:subject>
  <dc:creator>Stiftelsen Lovdata</dc:creator>
  <cp:lastModifiedBy>Løvseth Hanne Lene</cp:lastModifiedBy>
  <cp:revision>2</cp:revision>
  <dcterms:created xsi:type="dcterms:W3CDTF">2018-06-28T12:15:00Z</dcterms:created>
  <dcterms:modified xsi:type="dcterms:W3CDTF">2018-06-28T12:15:00Z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33674</vt:i4>
  </property>
</Properties>
</file>