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09114" w14:textId="577A6E5A" w:rsidR="0089157C" w:rsidRPr="00A10285" w:rsidRDefault="00581454" w:rsidP="00B300FB">
      <w:pPr>
        <w:spacing w:after="0"/>
        <w:rPr>
          <w:rFonts w:ascii="Times New Roman" w:hAnsi="Times New Roman" w:cs="Times New Roman"/>
          <w:b/>
          <w:sz w:val="24"/>
          <w:szCs w:val="24"/>
        </w:rPr>
      </w:pPr>
      <w:bookmarkStart w:id="0" w:name="_GoBack"/>
      <w:bookmarkEnd w:id="0"/>
      <w:r>
        <w:rPr>
          <w:rFonts w:ascii="Times New Roman" w:hAnsi="Times New Roman"/>
          <w:b/>
          <w:sz w:val="24"/>
          <w:szCs w:val="24"/>
        </w:rPr>
        <w:t xml:space="preserve">Proposed Regulation concerning amendments to the Regulations on the construction of mobile offshore units </w:t>
      </w:r>
    </w:p>
    <w:p w14:paraId="538AFFC9" w14:textId="1FC33A32" w:rsidR="0089157C" w:rsidRPr="00A10285" w:rsidRDefault="0089157C" w:rsidP="00B300FB">
      <w:pPr>
        <w:spacing w:after="0"/>
        <w:rPr>
          <w:rFonts w:ascii="Times New Roman" w:hAnsi="Times New Roman" w:cs="Times New Roman"/>
          <w:sz w:val="16"/>
          <w:szCs w:val="16"/>
        </w:rPr>
      </w:pPr>
      <w:r>
        <w:rPr>
          <w:rFonts w:ascii="Times New Roman" w:hAnsi="Times New Roman"/>
          <w:sz w:val="16"/>
          <w:szCs w:val="16"/>
        </w:rPr>
        <w:t xml:space="preserve">Laid down by the Norwegian Maritime Authority on </w:t>
      </w:r>
      <w:proofErr w:type="spellStart"/>
      <w:r>
        <w:rPr>
          <w:rFonts w:ascii="Times New Roman" w:hAnsi="Times New Roman"/>
          <w:sz w:val="16"/>
          <w:szCs w:val="16"/>
        </w:rPr>
        <w:t>dd</w:t>
      </w:r>
      <w:proofErr w:type="spellEnd"/>
      <w:r>
        <w:rPr>
          <w:rFonts w:ascii="Times New Roman" w:hAnsi="Times New Roman"/>
          <w:sz w:val="16"/>
          <w:szCs w:val="16"/>
        </w:rPr>
        <w:t> Month 2018 under the Act of 16 February 2007 No. 9 on ship safety and security (Ship Safety and Security Act) sections 7, 8, 9, 11, 14, 21, 28a and 45, cf. Formal Delegation of 16 February 2007 No. 171, Formal Delegation of 31 May 2007 No. 590 and Formal Delegation of 19 August 2013 No. 1002.</w:t>
      </w:r>
    </w:p>
    <w:p w14:paraId="3452CD89" w14:textId="77777777" w:rsidR="0089157C" w:rsidRPr="00A10285" w:rsidRDefault="0089157C" w:rsidP="0089157C">
      <w:pPr>
        <w:rPr>
          <w:rFonts w:ascii="Times New Roman" w:hAnsi="Times New Roman" w:cs="Times New Roman"/>
          <w:sz w:val="24"/>
          <w:szCs w:val="24"/>
        </w:rPr>
      </w:pPr>
    </w:p>
    <w:p w14:paraId="47039EA6" w14:textId="77777777" w:rsidR="0089157C" w:rsidRPr="00A10285" w:rsidRDefault="0089157C" w:rsidP="00B300FB">
      <w:pPr>
        <w:jc w:val="center"/>
        <w:rPr>
          <w:rFonts w:ascii="Times New Roman" w:hAnsi="Times New Roman" w:cs="Times New Roman"/>
          <w:b/>
          <w:sz w:val="24"/>
          <w:szCs w:val="24"/>
        </w:rPr>
      </w:pPr>
      <w:r>
        <w:rPr>
          <w:rFonts w:ascii="Times New Roman" w:hAnsi="Times New Roman"/>
          <w:b/>
          <w:sz w:val="24"/>
          <w:szCs w:val="24"/>
        </w:rPr>
        <w:t>I</w:t>
      </w:r>
    </w:p>
    <w:p w14:paraId="70EA2A42" w14:textId="77777777" w:rsidR="0089157C" w:rsidRPr="00A10285" w:rsidRDefault="0089157C" w:rsidP="00B300FB">
      <w:pPr>
        <w:spacing w:after="0"/>
        <w:rPr>
          <w:rFonts w:ascii="Times New Roman" w:hAnsi="Times New Roman" w:cs="Times New Roman"/>
          <w:sz w:val="24"/>
          <w:szCs w:val="24"/>
        </w:rPr>
      </w:pPr>
      <w:r>
        <w:rPr>
          <w:rFonts w:ascii="Times New Roman" w:hAnsi="Times New Roman"/>
          <w:sz w:val="24"/>
          <w:szCs w:val="24"/>
        </w:rPr>
        <w:t>Regulations of 4 September 1987 No. 856 on the construction of mobile offshore units are amended as follows:</w:t>
      </w:r>
    </w:p>
    <w:p w14:paraId="4DF6EF33" w14:textId="77777777" w:rsidR="00B300FB" w:rsidRDefault="00B300FB" w:rsidP="00B300FB">
      <w:pPr>
        <w:spacing w:after="0"/>
        <w:rPr>
          <w:rFonts w:ascii="Times New Roman" w:hAnsi="Times New Roman" w:cs="Times New Roman"/>
          <w:sz w:val="24"/>
          <w:szCs w:val="24"/>
        </w:rPr>
      </w:pPr>
    </w:p>
    <w:p w14:paraId="2BF1A6AB" w14:textId="0B93881E" w:rsidR="002A5418" w:rsidRDefault="002A5418" w:rsidP="00B300FB">
      <w:pPr>
        <w:spacing w:after="0"/>
        <w:rPr>
          <w:rFonts w:ascii="Times New Roman" w:hAnsi="Times New Roman" w:cs="Times New Roman"/>
          <w:sz w:val="24"/>
          <w:szCs w:val="24"/>
        </w:rPr>
      </w:pPr>
      <w:r>
        <w:rPr>
          <w:rFonts w:ascii="Times New Roman" w:hAnsi="Times New Roman"/>
          <w:sz w:val="24"/>
          <w:szCs w:val="24"/>
        </w:rPr>
        <w:t>Section 1 item 4 shall read:</w:t>
      </w:r>
    </w:p>
    <w:p w14:paraId="5CB6A220" w14:textId="12F8FC9D" w:rsidR="00B26EA6" w:rsidRDefault="002A5418" w:rsidP="00B300FB">
      <w:pPr>
        <w:spacing w:after="0"/>
        <w:rPr>
          <w:rFonts w:ascii="Times New Roman" w:hAnsi="Times New Roman" w:cs="Times New Roman"/>
          <w:i/>
          <w:sz w:val="24"/>
          <w:szCs w:val="24"/>
        </w:rPr>
      </w:pPr>
      <w:r>
        <w:rPr>
          <w:rFonts w:ascii="Times New Roman" w:hAnsi="Times New Roman"/>
          <w:sz w:val="24"/>
          <w:szCs w:val="24"/>
        </w:rPr>
        <w:t xml:space="preserve">4. </w:t>
      </w:r>
      <w:r>
        <w:rPr>
          <w:rFonts w:ascii="Times New Roman" w:hAnsi="Times New Roman"/>
          <w:i/>
          <w:sz w:val="24"/>
          <w:szCs w:val="24"/>
        </w:rPr>
        <w:t>Functional loads: Constant static loads (weight of structure and fixed equipment), movable static loads (weight of equipment, etc.), variable static loads (weight of supplies, ballast, etc.), dynamic loads (loads from cranes, etc.).</w:t>
      </w:r>
    </w:p>
    <w:p w14:paraId="0E862416" w14:textId="77777777" w:rsidR="00B26EA6" w:rsidRDefault="00B26EA6" w:rsidP="00B300FB">
      <w:pPr>
        <w:spacing w:after="0"/>
        <w:rPr>
          <w:rFonts w:ascii="Times New Roman" w:hAnsi="Times New Roman" w:cs="Times New Roman"/>
          <w:i/>
          <w:sz w:val="24"/>
          <w:szCs w:val="24"/>
        </w:rPr>
      </w:pPr>
    </w:p>
    <w:p w14:paraId="7FA65F7D" w14:textId="5EF2CE7A" w:rsidR="002A5418" w:rsidRDefault="002A5418" w:rsidP="00B300FB">
      <w:pPr>
        <w:spacing w:after="0"/>
        <w:rPr>
          <w:rFonts w:ascii="Times New Roman" w:hAnsi="Times New Roman" w:cs="Times New Roman"/>
          <w:sz w:val="24"/>
          <w:szCs w:val="24"/>
        </w:rPr>
      </w:pPr>
      <w:r>
        <w:rPr>
          <w:rFonts w:ascii="Times New Roman" w:hAnsi="Times New Roman"/>
          <w:sz w:val="24"/>
          <w:szCs w:val="24"/>
        </w:rPr>
        <w:t>Section 1 item 5 should read:</w:t>
      </w:r>
    </w:p>
    <w:p w14:paraId="23E8166F" w14:textId="23359C40" w:rsidR="00B26EA6" w:rsidRDefault="00B26EA6" w:rsidP="00B300FB">
      <w:pPr>
        <w:spacing w:after="0"/>
        <w:rPr>
          <w:rFonts w:ascii="Times New Roman" w:hAnsi="Times New Roman" w:cs="Times New Roman"/>
          <w:sz w:val="24"/>
          <w:szCs w:val="24"/>
        </w:rPr>
      </w:pPr>
      <w:r>
        <w:rPr>
          <w:rFonts w:ascii="Times New Roman" w:hAnsi="Times New Roman"/>
          <w:sz w:val="24"/>
          <w:szCs w:val="24"/>
        </w:rPr>
        <w:t xml:space="preserve">5. </w:t>
      </w:r>
      <w:r>
        <w:rPr>
          <w:rFonts w:ascii="Times New Roman" w:hAnsi="Times New Roman"/>
          <w:i/>
          <w:sz w:val="24"/>
          <w:szCs w:val="24"/>
        </w:rPr>
        <w:t>Environmental loads:</w:t>
      </w:r>
      <w:r>
        <w:rPr>
          <w:rFonts w:ascii="Times New Roman" w:hAnsi="Times New Roman"/>
          <w:sz w:val="24"/>
          <w:szCs w:val="24"/>
        </w:rPr>
        <w:t xml:space="preserve"> Waves, wind, current, tide, marine fouling, ambient temperature,</w:t>
      </w:r>
      <w:r w:rsidR="00A07546">
        <w:rPr>
          <w:rFonts w:ascii="Times New Roman" w:hAnsi="Times New Roman"/>
          <w:sz w:val="24"/>
          <w:szCs w:val="24"/>
        </w:rPr>
        <w:t xml:space="preserve"> </w:t>
      </w:r>
      <w:r w:rsidR="00A07546" w:rsidRPr="005D0678">
        <w:rPr>
          <w:rFonts w:ascii="Times New Roman" w:hAnsi="Times New Roman"/>
          <w:i/>
          <w:sz w:val="24"/>
          <w:szCs w:val="24"/>
        </w:rPr>
        <w:t>ice and snow loads</w:t>
      </w:r>
      <w:r>
        <w:rPr>
          <w:rFonts w:ascii="Times New Roman" w:hAnsi="Times New Roman"/>
          <w:sz w:val="24"/>
          <w:szCs w:val="24"/>
        </w:rPr>
        <w:t>.</w:t>
      </w:r>
    </w:p>
    <w:p w14:paraId="61AB9A8E" w14:textId="77777777" w:rsidR="002A5418" w:rsidRDefault="002A5418" w:rsidP="00B300FB">
      <w:pPr>
        <w:spacing w:after="0"/>
        <w:rPr>
          <w:rFonts w:ascii="Times New Roman" w:hAnsi="Times New Roman" w:cs="Times New Roman"/>
          <w:sz w:val="24"/>
          <w:szCs w:val="24"/>
        </w:rPr>
      </w:pPr>
    </w:p>
    <w:p w14:paraId="56E85F79" w14:textId="77777777" w:rsidR="00CE7B9B" w:rsidRDefault="00CE7B9B" w:rsidP="00B300FB">
      <w:pPr>
        <w:spacing w:after="0"/>
        <w:rPr>
          <w:rFonts w:ascii="Times New Roman" w:hAnsi="Times New Roman" w:cs="Times New Roman"/>
          <w:sz w:val="24"/>
          <w:szCs w:val="24"/>
        </w:rPr>
      </w:pPr>
      <w:r>
        <w:rPr>
          <w:rFonts w:ascii="Times New Roman" w:hAnsi="Times New Roman"/>
          <w:sz w:val="24"/>
          <w:szCs w:val="24"/>
        </w:rPr>
        <w:t>Section 1 item 6 shall read:</w:t>
      </w:r>
    </w:p>
    <w:p w14:paraId="3F640798" w14:textId="5BB85393" w:rsidR="00E41AF3" w:rsidRDefault="00CE7B9B" w:rsidP="00B300FB">
      <w:pPr>
        <w:spacing w:after="0"/>
        <w:rPr>
          <w:rFonts w:ascii="Times New Roman" w:hAnsi="Times New Roman" w:cs="Times New Roman"/>
          <w:sz w:val="24"/>
          <w:szCs w:val="24"/>
        </w:rPr>
      </w:pPr>
      <w:r>
        <w:rPr>
          <w:rFonts w:ascii="Times New Roman" w:hAnsi="Times New Roman"/>
          <w:sz w:val="24"/>
          <w:szCs w:val="24"/>
        </w:rPr>
        <w:t xml:space="preserve">6. Mean water level: </w:t>
      </w:r>
      <w:r>
        <w:rPr>
          <w:rFonts w:ascii="Times New Roman" w:hAnsi="Times New Roman"/>
          <w:i/>
          <w:sz w:val="24"/>
          <w:szCs w:val="24"/>
        </w:rPr>
        <w:t xml:space="preserve">The average water level observed at a site over 19-year period, </w:t>
      </w:r>
      <w:r w:rsidR="005D0FF0">
        <w:rPr>
          <w:rFonts w:ascii="Times New Roman" w:hAnsi="Times New Roman"/>
          <w:i/>
          <w:sz w:val="24"/>
          <w:szCs w:val="24"/>
        </w:rPr>
        <w:t xml:space="preserve">estimated </w:t>
      </w:r>
      <w:r>
        <w:rPr>
          <w:rFonts w:ascii="Times New Roman" w:hAnsi="Times New Roman"/>
          <w:i/>
          <w:sz w:val="24"/>
          <w:szCs w:val="24"/>
        </w:rPr>
        <w:t xml:space="preserve">by finding the average of water level observations made at fixed time intervals over </w:t>
      </w:r>
      <w:r w:rsidR="00BF1213">
        <w:rPr>
          <w:rFonts w:ascii="Times New Roman" w:hAnsi="Times New Roman"/>
          <w:i/>
          <w:sz w:val="24"/>
          <w:szCs w:val="24"/>
        </w:rPr>
        <w:t>the</w:t>
      </w:r>
      <w:r>
        <w:rPr>
          <w:rFonts w:ascii="Times New Roman" w:hAnsi="Times New Roman"/>
          <w:i/>
          <w:sz w:val="24"/>
          <w:szCs w:val="24"/>
        </w:rPr>
        <w:t xml:space="preserve"> period. The current mean water level is calculated over the period 1996</w:t>
      </w:r>
      <w:r w:rsidR="008850F5">
        <w:rPr>
          <w:rFonts w:ascii="Times New Roman" w:hAnsi="Times New Roman"/>
          <w:i/>
          <w:sz w:val="24"/>
          <w:szCs w:val="24"/>
        </w:rPr>
        <w:t>–</w:t>
      </w:r>
      <w:r>
        <w:rPr>
          <w:rFonts w:ascii="Times New Roman" w:hAnsi="Times New Roman"/>
          <w:i/>
          <w:sz w:val="24"/>
          <w:szCs w:val="24"/>
        </w:rPr>
        <w:t>2014</w:t>
      </w:r>
      <w:r>
        <w:t>.</w:t>
      </w:r>
    </w:p>
    <w:p w14:paraId="35DB4C34" w14:textId="77777777" w:rsidR="00E41AF3" w:rsidRPr="00FF46E5" w:rsidRDefault="00E41AF3" w:rsidP="00B300FB">
      <w:pPr>
        <w:spacing w:after="0"/>
        <w:rPr>
          <w:rFonts w:ascii="Times New Roman" w:hAnsi="Times New Roman" w:cs="Times New Roman"/>
          <w:sz w:val="24"/>
          <w:szCs w:val="24"/>
        </w:rPr>
      </w:pPr>
    </w:p>
    <w:p w14:paraId="782776B5" w14:textId="496B0971" w:rsidR="00B26EA6" w:rsidRDefault="00B26EA6" w:rsidP="00B300FB">
      <w:pPr>
        <w:spacing w:after="0"/>
        <w:rPr>
          <w:rFonts w:ascii="Times New Roman" w:hAnsi="Times New Roman" w:cs="Times New Roman"/>
          <w:sz w:val="24"/>
          <w:szCs w:val="24"/>
        </w:rPr>
      </w:pPr>
      <w:r>
        <w:rPr>
          <w:rFonts w:ascii="Times New Roman" w:hAnsi="Times New Roman"/>
          <w:sz w:val="24"/>
          <w:szCs w:val="24"/>
        </w:rPr>
        <w:t>Section 6 item </w:t>
      </w:r>
      <w:r w:rsidR="00213BB8">
        <w:rPr>
          <w:rFonts w:ascii="Times New Roman" w:hAnsi="Times New Roman"/>
          <w:sz w:val="24"/>
          <w:szCs w:val="24"/>
        </w:rPr>
        <w:t>1</w:t>
      </w:r>
      <w:r>
        <w:rPr>
          <w:rFonts w:ascii="Times New Roman" w:hAnsi="Times New Roman"/>
          <w:sz w:val="24"/>
          <w:szCs w:val="24"/>
        </w:rPr>
        <w:t xml:space="preserve">.1 should read: </w:t>
      </w:r>
    </w:p>
    <w:p w14:paraId="0E6BB033" w14:textId="5FE90F84" w:rsidR="00B26EA6" w:rsidRDefault="001A6C8C" w:rsidP="00B300FB">
      <w:pPr>
        <w:spacing w:after="0"/>
        <w:rPr>
          <w:rFonts w:ascii="Times New Roman" w:hAnsi="Times New Roman" w:cs="Times New Roman"/>
          <w:sz w:val="24"/>
          <w:szCs w:val="24"/>
        </w:rPr>
      </w:pPr>
      <w:r>
        <w:rPr>
          <w:rFonts w:ascii="Times New Roman" w:hAnsi="Times New Roman"/>
          <w:sz w:val="24"/>
          <w:szCs w:val="24"/>
        </w:rPr>
        <w:t xml:space="preserve">1.1. The unit shall be constructed in such a manner as to be strong enough to withstand the weather and wind conditions which may be anticipated in the areas in which the unit shall operate. The unit shall be of sufficient strength to withstand the </w:t>
      </w:r>
      <w:r>
        <w:rPr>
          <w:rFonts w:ascii="Times New Roman" w:hAnsi="Times New Roman"/>
          <w:i/>
          <w:sz w:val="24"/>
          <w:szCs w:val="24"/>
        </w:rPr>
        <w:t>least favourable</w:t>
      </w:r>
      <w:r>
        <w:rPr>
          <w:rFonts w:ascii="Times New Roman" w:hAnsi="Times New Roman"/>
          <w:sz w:val="24"/>
          <w:szCs w:val="24"/>
        </w:rPr>
        <w:t xml:space="preserve"> combination of maximum environmental and functional loads. </w:t>
      </w:r>
    </w:p>
    <w:p w14:paraId="0058D325" w14:textId="77777777" w:rsidR="006137E4" w:rsidRDefault="006137E4" w:rsidP="00B300FB">
      <w:pPr>
        <w:spacing w:after="0"/>
        <w:rPr>
          <w:rFonts w:ascii="Times New Roman" w:hAnsi="Times New Roman" w:cs="Times New Roman"/>
          <w:sz w:val="24"/>
          <w:szCs w:val="24"/>
        </w:rPr>
      </w:pPr>
    </w:p>
    <w:p w14:paraId="0DA888D0" w14:textId="004220B1" w:rsidR="00FB5BED" w:rsidRPr="00A10285" w:rsidRDefault="00FB5BED" w:rsidP="00B300FB">
      <w:pPr>
        <w:spacing w:after="0"/>
        <w:rPr>
          <w:rFonts w:ascii="Times New Roman" w:hAnsi="Times New Roman" w:cs="Times New Roman"/>
          <w:sz w:val="24"/>
          <w:szCs w:val="24"/>
        </w:rPr>
      </w:pPr>
      <w:r>
        <w:rPr>
          <w:rFonts w:ascii="Times New Roman" w:hAnsi="Times New Roman"/>
          <w:sz w:val="24"/>
          <w:szCs w:val="24"/>
        </w:rPr>
        <w:t xml:space="preserve">Section 6 item 2.2.1 should read: </w:t>
      </w:r>
    </w:p>
    <w:p w14:paraId="2E0340C5" w14:textId="4B93D80E" w:rsidR="00FB5BED" w:rsidRPr="00887AAF" w:rsidRDefault="00FB5BED" w:rsidP="00FB5BED">
      <w:pPr>
        <w:rPr>
          <w:rFonts w:ascii="Times New Roman" w:hAnsi="Times New Roman" w:cs="Times New Roman"/>
          <w:i/>
          <w:sz w:val="24"/>
          <w:szCs w:val="24"/>
        </w:rPr>
      </w:pPr>
      <w:r>
        <w:rPr>
          <w:rFonts w:ascii="Times New Roman" w:hAnsi="Times New Roman"/>
          <w:sz w:val="24"/>
          <w:szCs w:val="24"/>
        </w:rPr>
        <w:t xml:space="preserve">2.2.1. The calculations shall be carried out for the relevant loading conditions with the least favourable combination of the maximum </w:t>
      </w:r>
      <w:r>
        <w:rPr>
          <w:rFonts w:ascii="Times New Roman" w:hAnsi="Times New Roman"/>
          <w:i/>
          <w:sz w:val="24"/>
          <w:szCs w:val="24"/>
        </w:rPr>
        <w:t>environmental</w:t>
      </w:r>
      <w:r>
        <w:rPr>
          <w:rFonts w:ascii="Times New Roman" w:hAnsi="Times New Roman"/>
          <w:sz w:val="24"/>
          <w:szCs w:val="24"/>
        </w:rPr>
        <w:t xml:space="preserve"> and </w:t>
      </w:r>
      <w:r>
        <w:rPr>
          <w:rFonts w:ascii="Times New Roman" w:hAnsi="Times New Roman"/>
          <w:i/>
          <w:sz w:val="24"/>
          <w:szCs w:val="24"/>
        </w:rPr>
        <w:t>functional loads</w:t>
      </w:r>
      <w:r>
        <w:rPr>
          <w:rFonts w:ascii="Times New Roman" w:hAnsi="Times New Roman"/>
          <w:sz w:val="24"/>
          <w:szCs w:val="24"/>
        </w:rPr>
        <w:t>.</w:t>
      </w:r>
      <w:r>
        <w:rPr>
          <w:rFonts w:ascii="Times New Roman" w:hAnsi="Times New Roman"/>
          <w:i/>
          <w:sz w:val="24"/>
          <w:szCs w:val="24"/>
        </w:rPr>
        <w:t xml:space="preserve"> For jack-up</w:t>
      </w:r>
      <w:r w:rsidR="002C0C17">
        <w:rPr>
          <w:rFonts w:ascii="Times New Roman" w:hAnsi="Times New Roman"/>
          <w:i/>
          <w:sz w:val="24"/>
          <w:szCs w:val="24"/>
        </w:rPr>
        <w:t xml:space="preserve"> unit</w:t>
      </w:r>
      <w:r>
        <w:rPr>
          <w:rFonts w:ascii="Times New Roman" w:hAnsi="Times New Roman"/>
          <w:i/>
          <w:sz w:val="24"/>
          <w:szCs w:val="24"/>
        </w:rPr>
        <w:t>s, calculations shall also be performed for limit states where environmental loads with an annual exceedance probability shall be combined in accordance with the table below, but with a</w:t>
      </w:r>
      <w:r w:rsidR="006D4B16">
        <w:rPr>
          <w:rFonts w:ascii="Times New Roman" w:hAnsi="Times New Roman"/>
          <w:i/>
          <w:sz w:val="24"/>
          <w:szCs w:val="24"/>
        </w:rPr>
        <w:t xml:space="preserve"> </w:t>
      </w:r>
      <w:r w:rsidR="00E74A7B">
        <w:rPr>
          <w:rFonts w:ascii="Times New Roman" w:hAnsi="Times New Roman"/>
          <w:i/>
          <w:sz w:val="24"/>
          <w:szCs w:val="24"/>
        </w:rPr>
        <w:t xml:space="preserve">safety factor </w:t>
      </w:r>
      <w:r>
        <w:rPr>
          <w:rFonts w:ascii="Times New Roman" w:hAnsi="Times New Roman"/>
          <w:i/>
          <w:sz w:val="24"/>
          <w:szCs w:val="24"/>
        </w:rPr>
        <w:t>of 1.0:</w:t>
      </w:r>
    </w:p>
    <w:tbl>
      <w:tblPr>
        <w:tblStyle w:val="Tabellrutenett"/>
        <w:tblW w:w="0" w:type="auto"/>
        <w:tblLook w:val="04A0" w:firstRow="1" w:lastRow="0" w:firstColumn="1" w:lastColumn="0" w:noHBand="0" w:noVBand="1"/>
      </w:tblPr>
      <w:tblGrid>
        <w:gridCol w:w="2830"/>
        <w:gridCol w:w="350"/>
        <w:gridCol w:w="1470"/>
        <w:gridCol w:w="1470"/>
        <w:gridCol w:w="1471"/>
        <w:gridCol w:w="1471"/>
      </w:tblGrid>
      <w:tr w:rsidR="00FB5BED" w:rsidRPr="006137E4" w14:paraId="17EAA2C4" w14:textId="77777777" w:rsidTr="0086455F">
        <w:tc>
          <w:tcPr>
            <w:tcW w:w="3180" w:type="dxa"/>
            <w:gridSpan w:val="2"/>
            <w:tcBorders>
              <w:bottom w:val="single" w:sz="4" w:space="0" w:color="auto"/>
            </w:tcBorders>
          </w:tcPr>
          <w:p w14:paraId="4DD89703" w14:textId="77777777" w:rsidR="00FB5BED" w:rsidRPr="006137E4" w:rsidRDefault="00FB5BED" w:rsidP="0086455F">
            <w:pPr>
              <w:rPr>
                <w:rFonts w:ascii="Times New Roman" w:hAnsi="Times New Roman" w:cs="Times New Roman"/>
                <w:i/>
                <w:sz w:val="24"/>
                <w:szCs w:val="24"/>
              </w:rPr>
            </w:pPr>
            <w:r>
              <w:rPr>
                <w:rFonts w:ascii="Times New Roman" w:hAnsi="Times New Roman"/>
                <w:i/>
                <w:sz w:val="24"/>
                <w:szCs w:val="24"/>
              </w:rPr>
              <w:t xml:space="preserve">Limit states </w:t>
            </w:r>
          </w:p>
        </w:tc>
        <w:tc>
          <w:tcPr>
            <w:tcW w:w="1470" w:type="dxa"/>
            <w:tcBorders>
              <w:bottom w:val="single" w:sz="4" w:space="0" w:color="auto"/>
            </w:tcBorders>
          </w:tcPr>
          <w:p w14:paraId="092638F1" w14:textId="77777777" w:rsidR="00FB5BED" w:rsidRPr="006137E4" w:rsidRDefault="00FB5BED" w:rsidP="0086455F">
            <w:pPr>
              <w:rPr>
                <w:rFonts w:ascii="Times New Roman" w:hAnsi="Times New Roman" w:cs="Times New Roman"/>
                <w:i/>
                <w:sz w:val="24"/>
                <w:szCs w:val="24"/>
              </w:rPr>
            </w:pPr>
            <w:r>
              <w:rPr>
                <w:rFonts w:ascii="Times New Roman" w:hAnsi="Times New Roman"/>
                <w:i/>
                <w:sz w:val="24"/>
                <w:szCs w:val="24"/>
              </w:rPr>
              <w:t>Wind</w:t>
            </w:r>
          </w:p>
        </w:tc>
        <w:tc>
          <w:tcPr>
            <w:tcW w:w="1470" w:type="dxa"/>
            <w:tcBorders>
              <w:bottom w:val="single" w:sz="4" w:space="0" w:color="auto"/>
            </w:tcBorders>
          </w:tcPr>
          <w:p w14:paraId="1A6329C7" w14:textId="54F35B3D" w:rsidR="00FB5BED" w:rsidRPr="006137E4" w:rsidRDefault="00FB5BED" w:rsidP="0086455F">
            <w:pPr>
              <w:rPr>
                <w:rFonts w:ascii="Times New Roman" w:hAnsi="Times New Roman" w:cs="Times New Roman"/>
                <w:i/>
                <w:sz w:val="24"/>
                <w:szCs w:val="24"/>
              </w:rPr>
            </w:pPr>
            <w:r>
              <w:rPr>
                <w:rFonts w:ascii="Times New Roman" w:hAnsi="Times New Roman"/>
                <w:i/>
                <w:sz w:val="24"/>
                <w:szCs w:val="24"/>
              </w:rPr>
              <w:t>Waves (a)</w:t>
            </w:r>
          </w:p>
        </w:tc>
        <w:tc>
          <w:tcPr>
            <w:tcW w:w="1471" w:type="dxa"/>
            <w:tcBorders>
              <w:bottom w:val="single" w:sz="4" w:space="0" w:color="auto"/>
            </w:tcBorders>
          </w:tcPr>
          <w:p w14:paraId="694681EB" w14:textId="1700250E" w:rsidR="00FB5BED" w:rsidRPr="006137E4" w:rsidRDefault="00FB5BED" w:rsidP="0086455F">
            <w:pPr>
              <w:rPr>
                <w:rFonts w:ascii="Times New Roman" w:hAnsi="Times New Roman" w:cs="Times New Roman"/>
                <w:i/>
                <w:sz w:val="24"/>
                <w:szCs w:val="24"/>
              </w:rPr>
            </w:pPr>
            <w:r>
              <w:rPr>
                <w:rFonts w:ascii="Times New Roman" w:hAnsi="Times New Roman"/>
                <w:i/>
                <w:sz w:val="24"/>
                <w:szCs w:val="24"/>
              </w:rPr>
              <w:t>Current (b)</w:t>
            </w:r>
          </w:p>
        </w:tc>
        <w:tc>
          <w:tcPr>
            <w:tcW w:w="1471" w:type="dxa"/>
            <w:tcBorders>
              <w:bottom w:val="single" w:sz="4" w:space="0" w:color="auto"/>
            </w:tcBorders>
          </w:tcPr>
          <w:p w14:paraId="50F31147" w14:textId="7B9A4128" w:rsidR="00FB5BED" w:rsidRPr="00887AAF" w:rsidRDefault="00FB5BED" w:rsidP="0086455F">
            <w:pPr>
              <w:rPr>
                <w:rFonts w:ascii="Times New Roman" w:hAnsi="Times New Roman" w:cs="Times New Roman"/>
                <w:i/>
                <w:sz w:val="24"/>
                <w:szCs w:val="24"/>
              </w:rPr>
            </w:pPr>
            <w:r>
              <w:rPr>
                <w:rFonts w:ascii="Times New Roman" w:hAnsi="Times New Roman"/>
                <w:i/>
                <w:sz w:val="24"/>
                <w:szCs w:val="24"/>
              </w:rPr>
              <w:t>Sea level (c)</w:t>
            </w:r>
          </w:p>
        </w:tc>
      </w:tr>
      <w:tr w:rsidR="00FB5BED" w:rsidRPr="006137E4" w14:paraId="346A3DC5" w14:textId="77777777" w:rsidTr="0086455F">
        <w:tc>
          <w:tcPr>
            <w:tcW w:w="2830" w:type="dxa"/>
            <w:tcBorders>
              <w:top w:val="single" w:sz="4" w:space="0" w:color="auto"/>
              <w:left w:val="single" w:sz="4" w:space="0" w:color="auto"/>
              <w:bottom w:val="nil"/>
              <w:right w:val="single" w:sz="4" w:space="0" w:color="auto"/>
            </w:tcBorders>
          </w:tcPr>
          <w:p w14:paraId="1F73081B" w14:textId="77777777" w:rsidR="00FB5BED" w:rsidRPr="006137E4" w:rsidRDefault="00FB5BED" w:rsidP="0086455F">
            <w:pPr>
              <w:rPr>
                <w:rFonts w:ascii="Times New Roman" w:hAnsi="Times New Roman" w:cs="Times New Roman"/>
                <w:i/>
                <w:sz w:val="24"/>
                <w:szCs w:val="24"/>
              </w:rPr>
            </w:pPr>
          </w:p>
        </w:tc>
        <w:tc>
          <w:tcPr>
            <w:tcW w:w="350" w:type="dxa"/>
            <w:tcBorders>
              <w:top w:val="single" w:sz="4" w:space="0" w:color="auto"/>
              <w:left w:val="single" w:sz="4" w:space="0" w:color="auto"/>
              <w:bottom w:val="nil"/>
              <w:right w:val="single" w:sz="4" w:space="0" w:color="auto"/>
            </w:tcBorders>
          </w:tcPr>
          <w:p w14:paraId="1B0AB18D" w14:textId="77777777" w:rsidR="00FB5BED" w:rsidRPr="006137E4" w:rsidRDefault="00FB5BED" w:rsidP="0086455F">
            <w:pPr>
              <w:rPr>
                <w:rFonts w:ascii="Times New Roman" w:hAnsi="Times New Roman" w:cs="Times New Roman"/>
                <w:i/>
                <w:sz w:val="24"/>
                <w:szCs w:val="24"/>
              </w:rPr>
            </w:pPr>
            <w:r>
              <w:rPr>
                <w:rFonts w:ascii="Times New Roman" w:hAnsi="Times New Roman"/>
                <w:i/>
                <w:sz w:val="24"/>
                <w:szCs w:val="24"/>
              </w:rPr>
              <w:t>1</w:t>
            </w:r>
          </w:p>
        </w:tc>
        <w:tc>
          <w:tcPr>
            <w:tcW w:w="1470" w:type="dxa"/>
            <w:tcBorders>
              <w:top w:val="single" w:sz="4" w:space="0" w:color="auto"/>
              <w:left w:val="single" w:sz="4" w:space="0" w:color="auto"/>
              <w:bottom w:val="nil"/>
              <w:right w:val="single" w:sz="4" w:space="0" w:color="auto"/>
            </w:tcBorders>
          </w:tcPr>
          <w:p w14:paraId="044A3B7A" w14:textId="77777777" w:rsidR="00FB5BED" w:rsidRPr="006137E4" w:rsidRDefault="00FB5BED" w:rsidP="0086455F">
            <w:pPr>
              <w:rPr>
                <w:rFonts w:ascii="Times New Roman" w:hAnsi="Times New Roman" w:cs="Times New Roman"/>
                <w:i/>
                <w:sz w:val="24"/>
                <w:szCs w:val="24"/>
              </w:rPr>
            </w:pPr>
            <w:r>
              <w:rPr>
                <w:rFonts w:ascii="Times New Roman" w:hAnsi="Times New Roman"/>
                <w:i/>
                <w:sz w:val="24"/>
                <w:szCs w:val="24"/>
              </w:rPr>
              <w:t>10</w:t>
            </w:r>
            <w:r>
              <w:rPr>
                <w:rFonts w:ascii="Times New Roman" w:hAnsi="Times New Roman"/>
                <w:i/>
                <w:sz w:val="24"/>
                <w:szCs w:val="24"/>
                <w:vertAlign w:val="superscript"/>
              </w:rPr>
              <w:t>-4</w:t>
            </w:r>
          </w:p>
        </w:tc>
        <w:tc>
          <w:tcPr>
            <w:tcW w:w="1470" w:type="dxa"/>
            <w:tcBorders>
              <w:top w:val="single" w:sz="4" w:space="0" w:color="auto"/>
              <w:left w:val="single" w:sz="4" w:space="0" w:color="auto"/>
              <w:bottom w:val="nil"/>
              <w:right w:val="single" w:sz="4" w:space="0" w:color="auto"/>
            </w:tcBorders>
          </w:tcPr>
          <w:p w14:paraId="2ED87536" w14:textId="77777777" w:rsidR="00FB5BED" w:rsidRPr="006137E4" w:rsidRDefault="00FB5BED" w:rsidP="0086455F">
            <w:pPr>
              <w:rPr>
                <w:rFonts w:ascii="Times New Roman" w:hAnsi="Times New Roman" w:cs="Times New Roman"/>
                <w:i/>
                <w:sz w:val="24"/>
                <w:szCs w:val="24"/>
              </w:rPr>
            </w:pPr>
            <w:r>
              <w:rPr>
                <w:rFonts w:ascii="Times New Roman" w:hAnsi="Times New Roman"/>
                <w:i/>
                <w:sz w:val="24"/>
                <w:szCs w:val="24"/>
              </w:rPr>
              <w:t>10</w:t>
            </w:r>
            <w:r>
              <w:rPr>
                <w:rFonts w:ascii="Times New Roman" w:hAnsi="Times New Roman"/>
                <w:i/>
                <w:sz w:val="24"/>
                <w:szCs w:val="24"/>
                <w:vertAlign w:val="superscript"/>
              </w:rPr>
              <w:t>-2</w:t>
            </w:r>
          </w:p>
        </w:tc>
        <w:tc>
          <w:tcPr>
            <w:tcW w:w="1471" w:type="dxa"/>
            <w:tcBorders>
              <w:top w:val="single" w:sz="4" w:space="0" w:color="auto"/>
              <w:left w:val="single" w:sz="4" w:space="0" w:color="auto"/>
              <w:bottom w:val="nil"/>
              <w:right w:val="single" w:sz="4" w:space="0" w:color="auto"/>
            </w:tcBorders>
          </w:tcPr>
          <w:p w14:paraId="411573CE" w14:textId="77777777" w:rsidR="00FB5BED" w:rsidRPr="006137E4" w:rsidRDefault="00FB5BED" w:rsidP="0086455F">
            <w:pPr>
              <w:rPr>
                <w:rFonts w:ascii="Times New Roman" w:hAnsi="Times New Roman" w:cs="Times New Roman"/>
                <w:i/>
                <w:sz w:val="24"/>
                <w:szCs w:val="24"/>
              </w:rPr>
            </w:pPr>
            <w:r>
              <w:rPr>
                <w:rFonts w:ascii="Times New Roman" w:hAnsi="Times New Roman"/>
                <w:i/>
                <w:sz w:val="24"/>
                <w:szCs w:val="24"/>
              </w:rPr>
              <w:t>10</w:t>
            </w:r>
            <w:r>
              <w:rPr>
                <w:rFonts w:ascii="Times New Roman" w:hAnsi="Times New Roman"/>
                <w:i/>
                <w:sz w:val="24"/>
                <w:szCs w:val="24"/>
                <w:vertAlign w:val="superscript"/>
              </w:rPr>
              <w:t>-1</w:t>
            </w:r>
          </w:p>
        </w:tc>
        <w:tc>
          <w:tcPr>
            <w:tcW w:w="1471" w:type="dxa"/>
            <w:tcBorders>
              <w:top w:val="single" w:sz="4" w:space="0" w:color="auto"/>
              <w:left w:val="single" w:sz="4" w:space="0" w:color="auto"/>
              <w:bottom w:val="nil"/>
              <w:right w:val="single" w:sz="4" w:space="0" w:color="auto"/>
            </w:tcBorders>
          </w:tcPr>
          <w:p w14:paraId="6F0881D8" w14:textId="77777777" w:rsidR="00FB5BED" w:rsidRPr="006137E4" w:rsidRDefault="00FB5BED" w:rsidP="0086455F">
            <w:pPr>
              <w:rPr>
                <w:rFonts w:ascii="Times New Roman" w:hAnsi="Times New Roman" w:cs="Times New Roman"/>
                <w:i/>
                <w:sz w:val="24"/>
                <w:szCs w:val="24"/>
                <w:vertAlign w:val="subscript"/>
              </w:rPr>
            </w:pPr>
            <w:r>
              <w:rPr>
                <w:rFonts w:ascii="Times New Roman" w:hAnsi="Times New Roman"/>
                <w:i/>
                <w:sz w:val="24"/>
                <w:szCs w:val="24"/>
              </w:rPr>
              <w:t>MWL + S</w:t>
            </w:r>
            <w:r>
              <w:rPr>
                <w:rFonts w:ascii="Times New Roman" w:hAnsi="Times New Roman"/>
                <w:i/>
                <w:sz w:val="24"/>
                <w:szCs w:val="24"/>
                <w:vertAlign w:val="subscript"/>
              </w:rPr>
              <w:t>10</w:t>
            </w:r>
            <w:r>
              <w:rPr>
                <w:rFonts w:ascii="Times New Roman" w:hAnsi="Times New Roman"/>
                <w:i/>
                <w:sz w:val="24"/>
                <w:szCs w:val="24"/>
                <w:vertAlign w:val="superscript"/>
              </w:rPr>
              <w:t>-4</w:t>
            </w:r>
          </w:p>
        </w:tc>
      </w:tr>
      <w:tr w:rsidR="00FB5BED" w:rsidRPr="006137E4" w14:paraId="0F1E7F42" w14:textId="77777777" w:rsidTr="0086455F">
        <w:tc>
          <w:tcPr>
            <w:tcW w:w="2830" w:type="dxa"/>
            <w:tcBorders>
              <w:top w:val="nil"/>
              <w:left w:val="single" w:sz="4" w:space="0" w:color="auto"/>
              <w:bottom w:val="nil"/>
              <w:right w:val="single" w:sz="4" w:space="0" w:color="auto"/>
            </w:tcBorders>
          </w:tcPr>
          <w:p w14:paraId="6AD0839C" w14:textId="77777777" w:rsidR="00FB5BED" w:rsidRPr="006137E4" w:rsidRDefault="00FB5BED" w:rsidP="0086455F">
            <w:pPr>
              <w:rPr>
                <w:rFonts w:ascii="Times New Roman" w:hAnsi="Times New Roman" w:cs="Times New Roman"/>
                <w:i/>
                <w:sz w:val="24"/>
                <w:szCs w:val="24"/>
              </w:rPr>
            </w:pPr>
          </w:p>
        </w:tc>
        <w:tc>
          <w:tcPr>
            <w:tcW w:w="350" w:type="dxa"/>
            <w:tcBorders>
              <w:top w:val="nil"/>
              <w:left w:val="single" w:sz="4" w:space="0" w:color="auto"/>
              <w:bottom w:val="nil"/>
              <w:right w:val="single" w:sz="4" w:space="0" w:color="auto"/>
            </w:tcBorders>
          </w:tcPr>
          <w:p w14:paraId="5C55D7BB" w14:textId="77777777" w:rsidR="00FB5BED" w:rsidRPr="006137E4" w:rsidRDefault="00FB5BED" w:rsidP="0086455F">
            <w:pPr>
              <w:rPr>
                <w:rFonts w:ascii="Times New Roman" w:hAnsi="Times New Roman" w:cs="Times New Roman"/>
                <w:i/>
                <w:sz w:val="24"/>
                <w:szCs w:val="24"/>
              </w:rPr>
            </w:pPr>
            <w:r>
              <w:rPr>
                <w:rFonts w:ascii="Times New Roman" w:hAnsi="Times New Roman"/>
                <w:i/>
                <w:sz w:val="24"/>
                <w:szCs w:val="24"/>
              </w:rPr>
              <w:t>2</w:t>
            </w:r>
          </w:p>
        </w:tc>
        <w:tc>
          <w:tcPr>
            <w:tcW w:w="1470" w:type="dxa"/>
            <w:tcBorders>
              <w:top w:val="nil"/>
              <w:left w:val="single" w:sz="4" w:space="0" w:color="auto"/>
              <w:bottom w:val="nil"/>
              <w:right w:val="single" w:sz="4" w:space="0" w:color="auto"/>
            </w:tcBorders>
          </w:tcPr>
          <w:p w14:paraId="6441F5AD" w14:textId="77777777" w:rsidR="00FB5BED" w:rsidRPr="006137E4" w:rsidRDefault="00FB5BED" w:rsidP="0086455F">
            <w:pPr>
              <w:rPr>
                <w:rFonts w:ascii="Times New Roman" w:hAnsi="Times New Roman" w:cs="Times New Roman"/>
                <w:i/>
                <w:sz w:val="24"/>
                <w:szCs w:val="24"/>
              </w:rPr>
            </w:pPr>
            <w:r>
              <w:rPr>
                <w:rFonts w:ascii="Times New Roman" w:hAnsi="Times New Roman"/>
                <w:i/>
                <w:sz w:val="24"/>
                <w:szCs w:val="24"/>
              </w:rPr>
              <w:t>10</w:t>
            </w:r>
            <w:r>
              <w:rPr>
                <w:rFonts w:ascii="Times New Roman" w:hAnsi="Times New Roman"/>
                <w:i/>
                <w:sz w:val="24"/>
                <w:szCs w:val="24"/>
                <w:vertAlign w:val="superscript"/>
              </w:rPr>
              <w:t>-2</w:t>
            </w:r>
          </w:p>
        </w:tc>
        <w:tc>
          <w:tcPr>
            <w:tcW w:w="1470" w:type="dxa"/>
            <w:tcBorders>
              <w:top w:val="nil"/>
              <w:left w:val="single" w:sz="4" w:space="0" w:color="auto"/>
              <w:bottom w:val="nil"/>
              <w:right w:val="single" w:sz="4" w:space="0" w:color="auto"/>
            </w:tcBorders>
          </w:tcPr>
          <w:p w14:paraId="517AD865" w14:textId="77777777" w:rsidR="00FB5BED" w:rsidRPr="006137E4" w:rsidRDefault="00FB5BED" w:rsidP="0086455F">
            <w:pPr>
              <w:rPr>
                <w:rFonts w:ascii="Times New Roman" w:hAnsi="Times New Roman" w:cs="Times New Roman"/>
                <w:i/>
                <w:sz w:val="24"/>
                <w:szCs w:val="24"/>
              </w:rPr>
            </w:pPr>
            <w:r>
              <w:rPr>
                <w:rFonts w:ascii="Times New Roman" w:hAnsi="Times New Roman"/>
                <w:i/>
                <w:sz w:val="24"/>
                <w:szCs w:val="24"/>
              </w:rPr>
              <w:t>10</w:t>
            </w:r>
            <w:r>
              <w:rPr>
                <w:rFonts w:ascii="Times New Roman" w:hAnsi="Times New Roman"/>
                <w:i/>
                <w:sz w:val="24"/>
                <w:szCs w:val="24"/>
                <w:vertAlign w:val="superscript"/>
              </w:rPr>
              <w:t>-4</w:t>
            </w:r>
          </w:p>
        </w:tc>
        <w:tc>
          <w:tcPr>
            <w:tcW w:w="1471" w:type="dxa"/>
            <w:tcBorders>
              <w:top w:val="nil"/>
              <w:left w:val="single" w:sz="4" w:space="0" w:color="auto"/>
              <w:bottom w:val="nil"/>
              <w:right w:val="single" w:sz="4" w:space="0" w:color="auto"/>
            </w:tcBorders>
          </w:tcPr>
          <w:p w14:paraId="70CC7FC4" w14:textId="77777777" w:rsidR="00FB5BED" w:rsidRPr="006137E4" w:rsidRDefault="00FB5BED" w:rsidP="0086455F">
            <w:pPr>
              <w:rPr>
                <w:rFonts w:ascii="Times New Roman" w:hAnsi="Times New Roman" w:cs="Times New Roman"/>
                <w:i/>
                <w:sz w:val="24"/>
                <w:szCs w:val="24"/>
              </w:rPr>
            </w:pPr>
            <w:r>
              <w:rPr>
                <w:rFonts w:ascii="Times New Roman" w:hAnsi="Times New Roman"/>
                <w:i/>
                <w:sz w:val="24"/>
                <w:szCs w:val="24"/>
              </w:rPr>
              <w:t>10</w:t>
            </w:r>
            <w:r>
              <w:rPr>
                <w:rFonts w:ascii="Times New Roman" w:hAnsi="Times New Roman"/>
                <w:i/>
                <w:sz w:val="24"/>
                <w:szCs w:val="24"/>
                <w:vertAlign w:val="superscript"/>
              </w:rPr>
              <w:t>-1</w:t>
            </w:r>
          </w:p>
        </w:tc>
        <w:tc>
          <w:tcPr>
            <w:tcW w:w="1471" w:type="dxa"/>
            <w:tcBorders>
              <w:top w:val="nil"/>
              <w:left w:val="single" w:sz="4" w:space="0" w:color="auto"/>
              <w:bottom w:val="nil"/>
              <w:right w:val="single" w:sz="4" w:space="0" w:color="auto"/>
            </w:tcBorders>
          </w:tcPr>
          <w:p w14:paraId="704E83AD" w14:textId="77777777" w:rsidR="00FB5BED" w:rsidRPr="006137E4" w:rsidRDefault="00FB5BED" w:rsidP="0086455F">
            <w:pPr>
              <w:rPr>
                <w:rFonts w:ascii="Times New Roman" w:hAnsi="Times New Roman" w:cs="Times New Roman"/>
                <w:i/>
                <w:sz w:val="24"/>
                <w:szCs w:val="24"/>
              </w:rPr>
            </w:pPr>
            <w:r>
              <w:rPr>
                <w:rFonts w:ascii="Times New Roman" w:hAnsi="Times New Roman"/>
                <w:i/>
                <w:sz w:val="24"/>
                <w:szCs w:val="24"/>
              </w:rPr>
              <w:t>MWL + S</w:t>
            </w:r>
            <w:r>
              <w:rPr>
                <w:rFonts w:ascii="Times New Roman" w:hAnsi="Times New Roman"/>
                <w:i/>
                <w:sz w:val="24"/>
                <w:szCs w:val="24"/>
                <w:vertAlign w:val="subscript"/>
              </w:rPr>
              <w:t>10</w:t>
            </w:r>
            <w:r>
              <w:rPr>
                <w:rFonts w:ascii="Times New Roman" w:hAnsi="Times New Roman"/>
                <w:i/>
                <w:sz w:val="24"/>
                <w:szCs w:val="24"/>
                <w:vertAlign w:val="superscript"/>
              </w:rPr>
              <w:t>-4</w:t>
            </w:r>
          </w:p>
        </w:tc>
      </w:tr>
      <w:tr w:rsidR="00FB5BED" w:rsidRPr="00F55780" w14:paraId="5A95D0F9" w14:textId="77777777" w:rsidTr="0086455F">
        <w:tc>
          <w:tcPr>
            <w:tcW w:w="9062" w:type="dxa"/>
            <w:gridSpan w:val="6"/>
            <w:tcBorders>
              <w:top w:val="single" w:sz="4" w:space="0" w:color="auto"/>
            </w:tcBorders>
          </w:tcPr>
          <w:p w14:paraId="7501E99E" w14:textId="01D47139" w:rsidR="007067A2" w:rsidRPr="006137E4" w:rsidRDefault="007067A2" w:rsidP="007067A2">
            <w:pPr>
              <w:pStyle w:val="Listeavsnitt"/>
              <w:numPr>
                <w:ilvl w:val="0"/>
                <w:numId w:val="2"/>
              </w:numPr>
              <w:rPr>
                <w:rFonts w:ascii="Times New Roman" w:hAnsi="Times New Roman" w:cs="Times New Roman"/>
                <w:i/>
                <w:sz w:val="24"/>
                <w:szCs w:val="24"/>
              </w:rPr>
            </w:pPr>
            <w:r>
              <w:rPr>
                <w:rFonts w:ascii="Times New Roman" w:hAnsi="Times New Roman"/>
                <w:i/>
                <w:sz w:val="24"/>
                <w:szCs w:val="24"/>
              </w:rPr>
              <w:t>If the contour line approach is used, the worst combination of significant wave height and peak period (Hs/</w:t>
            </w:r>
            <w:proofErr w:type="spellStart"/>
            <w:r>
              <w:rPr>
                <w:rFonts w:ascii="Times New Roman" w:hAnsi="Times New Roman"/>
                <w:i/>
                <w:sz w:val="24"/>
                <w:szCs w:val="24"/>
              </w:rPr>
              <w:t>Tp</w:t>
            </w:r>
            <w:proofErr w:type="spellEnd"/>
            <w:r>
              <w:rPr>
                <w:rFonts w:ascii="Times New Roman" w:hAnsi="Times New Roman"/>
                <w:i/>
                <w:sz w:val="24"/>
                <w:szCs w:val="24"/>
              </w:rPr>
              <w:t>) for the given probability shall be used.</w:t>
            </w:r>
          </w:p>
          <w:p w14:paraId="0B0FEBB4" w14:textId="7B0BA264" w:rsidR="007067A2" w:rsidRPr="006137E4" w:rsidRDefault="007067A2" w:rsidP="007067A2">
            <w:pPr>
              <w:pStyle w:val="Listeavsnitt"/>
              <w:numPr>
                <w:ilvl w:val="0"/>
                <w:numId w:val="2"/>
              </w:numPr>
              <w:rPr>
                <w:rFonts w:ascii="Times New Roman" w:hAnsi="Times New Roman" w:cs="Times New Roman"/>
                <w:i/>
                <w:sz w:val="24"/>
                <w:szCs w:val="24"/>
              </w:rPr>
            </w:pPr>
            <w:r>
              <w:rPr>
                <w:rFonts w:ascii="Times New Roman" w:hAnsi="Times New Roman"/>
                <w:i/>
                <w:sz w:val="24"/>
                <w:szCs w:val="24"/>
              </w:rPr>
              <w:t>For current, a 1-hour mean shall be used.</w:t>
            </w:r>
          </w:p>
          <w:p w14:paraId="2004C0C0" w14:textId="3F6BFFB3" w:rsidR="00FB5BED" w:rsidRPr="00887AAF" w:rsidRDefault="00FB5BED" w:rsidP="007067A2">
            <w:pPr>
              <w:pStyle w:val="Listeavsnitt"/>
              <w:numPr>
                <w:ilvl w:val="0"/>
                <w:numId w:val="2"/>
              </w:numPr>
              <w:rPr>
                <w:rFonts w:ascii="Times New Roman" w:hAnsi="Times New Roman" w:cs="Times New Roman"/>
                <w:i/>
                <w:sz w:val="24"/>
                <w:szCs w:val="24"/>
              </w:rPr>
            </w:pPr>
            <w:r>
              <w:rPr>
                <w:rFonts w:ascii="Times New Roman" w:hAnsi="Times New Roman"/>
                <w:i/>
                <w:sz w:val="24"/>
                <w:szCs w:val="24"/>
              </w:rPr>
              <w:t>MWL = mean water level; MWL + S = mean water level, including the effect of storm surge with given probability.</w:t>
            </w:r>
          </w:p>
          <w:p w14:paraId="06D954C5" w14:textId="6CDDC175" w:rsidR="00FB5BED" w:rsidRPr="00F55780" w:rsidRDefault="00FB5BED" w:rsidP="00532CA1">
            <w:pPr>
              <w:pStyle w:val="Listeavsnitt"/>
              <w:rPr>
                <w:rFonts w:ascii="Times New Roman" w:hAnsi="Times New Roman" w:cs="Times New Roman"/>
                <w:i/>
                <w:sz w:val="24"/>
                <w:szCs w:val="24"/>
              </w:rPr>
            </w:pPr>
          </w:p>
        </w:tc>
      </w:tr>
    </w:tbl>
    <w:p w14:paraId="407EBE44" w14:textId="77777777" w:rsidR="00FB5BED" w:rsidRPr="00A10285" w:rsidRDefault="00FB5BED" w:rsidP="00FB5BED"/>
    <w:p w14:paraId="3EF75BA0" w14:textId="0C3ACA12" w:rsidR="002D21DD" w:rsidRPr="00A10285" w:rsidRDefault="002D21DD" w:rsidP="002D21DD">
      <w:pPr>
        <w:spacing w:after="0"/>
        <w:rPr>
          <w:rFonts w:ascii="Times New Roman" w:hAnsi="Times New Roman" w:cs="Times New Roman"/>
          <w:sz w:val="24"/>
          <w:szCs w:val="24"/>
        </w:rPr>
      </w:pPr>
      <w:r>
        <w:rPr>
          <w:rFonts w:ascii="Times New Roman" w:hAnsi="Times New Roman"/>
          <w:sz w:val="24"/>
          <w:szCs w:val="24"/>
        </w:rPr>
        <w:lastRenderedPageBreak/>
        <w:t>Section 6 item</w:t>
      </w:r>
      <w:r>
        <w:t xml:space="preserve"> </w:t>
      </w:r>
      <w:r>
        <w:rPr>
          <w:rFonts w:ascii="Times New Roman" w:hAnsi="Times New Roman"/>
          <w:sz w:val="24"/>
          <w:szCs w:val="24"/>
        </w:rPr>
        <w:t>2.2.4 should read:</w:t>
      </w:r>
    </w:p>
    <w:p w14:paraId="5956206D" w14:textId="4E084CE8" w:rsidR="00FB5BED" w:rsidRDefault="00FB5BED" w:rsidP="00FB5BED">
      <w:pPr>
        <w:rPr>
          <w:rFonts w:ascii="Times New Roman" w:hAnsi="Times New Roman" w:cs="Times New Roman"/>
          <w:sz w:val="24"/>
          <w:szCs w:val="24"/>
        </w:rPr>
      </w:pPr>
      <w:r>
        <w:rPr>
          <w:rFonts w:ascii="Times New Roman" w:hAnsi="Times New Roman"/>
          <w:sz w:val="24"/>
          <w:szCs w:val="24"/>
        </w:rPr>
        <w:t xml:space="preserve">2.2.4. </w:t>
      </w:r>
      <w:r>
        <w:rPr>
          <w:rFonts w:ascii="Times New Roman" w:hAnsi="Times New Roman"/>
          <w:i/>
          <w:sz w:val="24"/>
          <w:szCs w:val="24"/>
        </w:rPr>
        <w:t>Jack-up</w:t>
      </w:r>
      <w:r w:rsidR="00602E72">
        <w:rPr>
          <w:rFonts w:ascii="Times New Roman" w:hAnsi="Times New Roman"/>
          <w:i/>
          <w:sz w:val="24"/>
          <w:szCs w:val="24"/>
        </w:rPr>
        <w:t xml:space="preserve"> unit</w:t>
      </w:r>
      <w:r>
        <w:rPr>
          <w:rFonts w:ascii="Times New Roman" w:hAnsi="Times New Roman"/>
          <w:i/>
          <w:sz w:val="24"/>
          <w:szCs w:val="24"/>
        </w:rPr>
        <w:t>s shall have</w:t>
      </w:r>
      <w:r>
        <w:rPr>
          <w:rFonts w:ascii="Times New Roman" w:hAnsi="Times New Roman"/>
          <w:sz w:val="24"/>
          <w:szCs w:val="24"/>
        </w:rPr>
        <w:t xml:space="preserve"> a </w:t>
      </w:r>
      <w:r w:rsidRPr="00E74A7B" w:rsidDel="006D4B16">
        <w:rPr>
          <w:rFonts w:ascii="Times New Roman" w:hAnsi="Times New Roman"/>
          <w:sz w:val="24"/>
          <w:szCs w:val="24"/>
        </w:rPr>
        <w:t>safety factor</w:t>
      </w:r>
      <w:r>
        <w:rPr>
          <w:rFonts w:ascii="Times New Roman" w:hAnsi="Times New Roman"/>
          <w:sz w:val="24"/>
          <w:szCs w:val="24"/>
        </w:rPr>
        <w:t xml:space="preserve"> of 1.5 against capsizing (ratio between stabilising and overturning moment). When calculating the overturning moment, the </w:t>
      </w:r>
      <w:r>
        <w:rPr>
          <w:rFonts w:ascii="Times New Roman" w:hAnsi="Times New Roman"/>
          <w:i/>
          <w:sz w:val="24"/>
          <w:szCs w:val="24"/>
        </w:rPr>
        <w:t>least favourable</w:t>
      </w:r>
      <w:r>
        <w:rPr>
          <w:rFonts w:ascii="Times New Roman" w:hAnsi="Times New Roman"/>
          <w:sz w:val="24"/>
          <w:szCs w:val="24"/>
        </w:rPr>
        <w:t xml:space="preserve"> combination of environmental loads</w:t>
      </w:r>
      <w:r>
        <w:rPr>
          <w:rFonts w:ascii="Times New Roman" w:hAnsi="Times New Roman"/>
          <w:i/>
          <w:sz w:val="24"/>
          <w:szCs w:val="24"/>
        </w:rPr>
        <w:t>, as set out in item 1.2,</w:t>
      </w:r>
      <w:r>
        <w:rPr>
          <w:rFonts w:ascii="Times New Roman" w:hAnsi="Times New Roman"/>
          <w:sz w:val="24"/>
          <w:szCs w:val="24"/>
        </w:rPr>
        <w:t xml:space="preserve"> and functional loads shall be taken into account. </w:t>
      </w:r>
      <w:r>
        <w:rPr>
          <w:rFonts w:ascii="Times New Roman" w:hAnsi="Times New Roman"/>
          <w:i/>
          <w:sz w:val="24"/>
          <w:szCs w:val="24"/>
        </w:rPr>
        <w:t xml:space="preserve">Additionally, </w:t>
      </w:r>
      <w:r w:rsidR="00602E72">
        <w:rPr>
          <w:rFonts w:ascii="Times New Roman" w:hAnsi="Times New Roman"/>
          <w:i/>
          <w:sz w:val="24"/>
          <w:szCs w:val="24"/>
        </w:rPr>
        <w:t xml:space="preserve">jack-up </w:t>
      </w:r>
      <w:r>
        <w:rPr>
          <w:rFonts w:ascii="Times New Roman" w:hAnsi="Times New Roman"/>
          <w:i/>
          <w:sz w:val="24"/>
          <w:szCs w:val="24"/>
        </w:rPr>
        <w:t>unit</w:t>
      </w:r>
      <w:r w:rsidR="00602E72">
        <w:rPr>
          <w:rFonts w:ascii="Times New Roman" w:hAnsi="Times New Roman"/>
          <w:i/>
          <w:sz w:val="24"/>
          <w:szCs w:val="24"/>
        </w:rPr>
        <w:t>s</w:t>
      </w:r>
      <w:r>
        <w:rPr>
          <w:rFonts w:ascii="Times New Roman" w:hAnsi="Times New Roman"/>
          <w:i/>
          <w:sz w:val="24"/>
          <w:szCs w:val="24"/>
        </w:rPr>
        <w:t xml:space="preserve"> shall have a safety factor of 1.0 against capsizing for limit states as set out in the table of item 2.2.1.</w:t>
      </w:r>
      <w:r>
        <w:rPr>
          <w:rFonts w:ascii="Times New Roman" w:hAnsi="Times New Roman"/>
          <w:sz w:val="24"/>
          <w:szCs w:val="24"/>
        </w:rPr>
        <w:t xml:space="preserve"> The moments shall be calculated around the maximum stressed edge of the foundation of the legs.</w:t>
      </w:r>
    </w:p>
    <w:p w14:paraId="6C94F914" w14:textId="29A5C239" w:rsidR="00923E9D" w:rsidRDefault="00923E9D" w:rsidP="006102D1">
      <w:pPr>
        <w:spacing w:after="0" w:line="240" w:lineRule="auto"/>
        <w:rPr>
          <w:rFonts w:ascii="Times New Roman" w:hAnsi="Times New Roman" w:cs="Times New Roman"/>
          <w:sz w:val="24"/>
          <w:szCs w:val="24"/>
        </w:rPr>
      </w:pPr>
    </w:p>
    <w:p w14:paraId="16F3E903" w14:textId="588C4847" w:rsidR="00A9548C" w:rsidRPr="00323A7C" w:rsidRDefault="00D25ABD" w:rsidP="00B300FB">
      <w:pPr>
        <w:spacing w:after="0"/>
        <w:rPr>
          <w:rFonts w:ascii="Times New Roman" w:hAnsi="Times New Roman" w:cs="Times New Roman"/>
          <w:sz w:val="24"/>
          <w:szCs w:val="24"/>
        </w:rPr>
      </w:pPr>
      <w:r>
        <w:rPr>
          <w:rFonts w:ascii="Times New Roman" w:hAnsi="Times New Roman"/>
          <w:sz w:val="24"/>
          <w:szCs w:val="24"/>
        </w:rPr>
        <w:t>The heading of section 6 b should read:</w:t>
      </w:r>
    </w:p>
    <w:p w14:paraId="1CAC49BA" w14:textId="4A9DEFEE" w:rsidR="00A9548C" w:rsidRPr="00323A7C" w:rsidRDefault="00A9548C" w:rsidP="00B300FB">
      <w:pPr>
        <w:spacing w:after="0"/>
        <w:rPr>
          <w:rFonts w:ascii="Times New Roman" w:hAnsi="Times New Roman" w:cs="Times New Roman"/>
          <w:sz w:val="24"/>
          <w:szCs w:val="24"/>
        </w:rPr>
      </w:pPr>
      <w:r>
        <w:rPr>
          <w:rFonts w:ascii="Times New Roman" w:hAnsi="Times New Roman"/>
          <w:sz w:val="24"/>
          <w:szCs w:val="24"/>
        </w:rPr>
        <w:t xml:space="preserve">Section 6 b </w:t>
      </w:r>
      <w:r>
        <w:rPr>
          <w:rFonts w:ascii="Times New Roman" w:hAnsi="Times New Roman"/>
          <w:i/>
          <w:sz w:val="24"/>
          <w:szCs w:val="24"/>
        </w:rPr>
        <w:t>Machinery and battery systems</w:t>
      </w:r>
    </w:p>
    <w:p w14:paraId="0605842C" w14:textId="77777777" w:rsidR="00A9548C" w:rsidRPr="00323A7C" w:rsidRDefault="00A9548C" w:rsidP="00B300FB">
      <w:pPr>
        <w:spacing w:after="0"/>
        <w:rPr>
          <w:rFonts w:ascii="Times New Roman" w:hAnsi="Times New Roman" w:cs="Times New Roman"/>
          <w:sz w:val="24"/>
          <w:szCs w:val="24"/>
        </w:rPr>
      </w:pPr>
    </w:p>
    <w:p w14:paraId="4DB035C0" w14:textId="0E04F8F5" w:rsidR="00FB5BED" w:rsidRPr="00323A7C" w:rsidRDefault="00A9548C" w:rsidP="00B300FB">
      <w:pPr>
        <w:spacing w:after="0"/>
        <w:rPr>
          <w:rFonts w:ascii="Times New Roman" w:hAnsi="Times New Roman" w:cs="Times New Roman"/>
          <w:sz w:val="24"/>
          <w:szCs w:val="24"/>
        </w:rPr>
      </w:pPr>
      <w:r>
        <w:rPr>
          <w:rFonts w:ascii="Times New Roman" w:hAnsi="Times New Roman"/>
          <w:sz w:val="24"/>
          <w:szCs w:val="24"/>
        </w:rPr>
        <w:t>Section 6</w:t>
      </w:r>
      <w:r w:rsidR="00BE3619">
        <w:rPr>
          <w:rFonts w:ascii="Times New Roman" w:hAnsi="Times New Roman"/>
          <w:sz w:val="24"/>
          <w:szCs w:val="24"/>
        </w:rPr>
        <w:t xml:space="preserve"> b</w:t>
      </w:r>
      <w:r>
        <w:rPr>
          <w:rFonts w:ascii="Times New Roman" w:hAnsi="Times New Roman"/>
          <w:sz w:val="24"/>
          <w:szCs w:val="24"/>
        </w:rPr>
        <w:t xml:space="preserve"> item 2 should read:</w:t>
      </w:r>
    </w:p>
    <w:p w14:paraId="491D9F4E" w14:textId="253DE244" w:rsidR="00CF1ECE" w:rsidRDefault="009752F4" w:rsidP="00CF1ECE">
      <w:pPr>
        <w:spacing w:after="0"/>
        <w:rPr>
          <w:rFonts w:ascii="Times New Roman" w:hAnsi="Times New Roman" w:cs="Times New Roman"/>
          <w:i/>
          <w:sz w:val="24"/>
          <w:szCs w:val="24"/>
        </w:rPr>
      </w:pPr>
      <w:r>
        <w:rPr>
          <w:rFonts w:ascii="Times New Roman" w:hAnsi="Times New Roman"/>
          <w:i/>
          <w:sz w:val="24"/>
          <w:szCs w:val="24"/>
        </w:rPr>
        <w:t>2. Battery systems for propulsion or with a capacity exceeding 20 kWh shall be designed, constructed, tested, installed and certified in accordance with DNVGL-RU-SHIP Part 6 Chapter 2 Section 1 “Battery power”. Alternatively, rules from another MOU classification society that maintain an equivalent level of safety</w:t>
      </w:r>
      <w:r w:rsidR="00C308A6">
        <w:rPr>
          <w:rFonts w:ascii="Times New Roman" w:hAnsi="Times New Roman"/>
          <w:i/>
          <w:sz w:val="24"/>
          <w:szCs w:val="24"/>
        </w:rPr>
        <w:t xml:space="preserve"> may be used</w:t>
      </w:r>
      <w:r>
        <w:rPr>
          <w:rFonts w:ascii="Times New Roman" w:hAnsi="Times New Roman"/>
          <w:i/>
          <w:sz w:val="24"/>
          <w:szCs w:val="24"/>
        </w:rPr>
        <w:t>.</w:t>
      </w:r>
    </w:p>
    <w:p w14:paraId="7414E272" w14:textId="77777777" w:rsidR="00D35143" w:rsidRDefault="00D35143" w:rsidP="00CF1ECE">
      <w:pPr>
        <w:spacing w:after="0"/>
        <w:rPr>
          <w:rFonts w:ascii="Times New Roman" w:hAnsi="Times New Roman"/>
          <w:i/>
          <w:sz w:val="24"/>
          <w:szCs w:val="24"/>
        </w:rPr>
      </w:pPr>
    </w:p>
    <w:p w14:paraId="69631BA1" w14:textId="0C787661" w:rsidR="00D35143" w:rsidRPr="00323A7C" w:rsidRDefault="00D35143" w:rsidP="00D35143">
      <w:pPr>
        <w:spacing w:after="0"/>
        <w:rPr>
          <w:rFonts w:ascii="Times New Roman" w:hAnsi="Times New Roman" w:cs="Times New Roman"/>
          <w:sz w:val="24"/>
          <w:szCs w:val="24"/>
        </w:rPr>
      </w:pPr>
      <w:r>
        <w:rPr>
          <w:rFonts w:ascii="Times New Roman" w:hAnsi="Times New Roman"/>
          <w:sz w:val="24"/>
          <w:szCs w:val="24"/>
        </w:rPr>
        <w:t>Section 6</w:t>
      </w:r>
      <w:r w:rsidR="00BE3619">
        <w:rPr>
          <w:rFonts w:ascii="Times New Roman" w:hAnsi="Times New Roman"/>
          <w:sz w:val="24"/>
          <w:szCs w:val="24"/>
        </w:rPr>
        <w:t xml:space="preserve"> b</w:t>
      </w:r>
      <w:r>
        <w:rPr>
          <w:rFonts w:ascii="Times New Roman" w:hAnsi="Times New Roman"/>
          <w:sz w:val="24"/>
          <w:szCs w:val="24"/>
        </w:rPr>
        <w:t xml:space="preserve"> item 3 should read:</w:t>
      </w:r>
    </w:p>
    <w:p w14:paraId="3DD8692B" w14:textId="79A2ED2A" w:rsidR="00CF1ECE" w:rsidRPr="00A75F7D" w:rsidRDefault="009752F4" w:rsidP="00CF1ECE">
      <w:pPr>
        <w:spacing w:after="0"/>
        <w:rPr>
          <w:rFonts w:ascii="Times New Roman" w:hAnsi="Times New Roman"/>
          <w:i/>
          <w:sz w:val="24"/>
          <w:szCs w:val="24"/>
        </w:rPr>
      </w:pPr>
      <w:r>
        <w:rPr>
          <w:rFonts w:ascii="Times New Roman" w:hAnsi="Times New Roman"/>
          <w:i/>
          <w:sz w:val="24"/>
          <w:szCs w:val="24"/>
        </w:rPr>
        <w:t>3. Regardless of the requirement of item 2, bulkheads and decks of spaces containing such battery syst</w:t>
      </w:r>
      <w:r w:rsidR="006102D1">
        <w:rPr>
          <w:rFonts w:ascii="Times New Roman" w:hAnsi="Times New Roman"/>
          <w:i/>
          <w:sz w:val="24"/>
          <w:szCs w:val="24"/>
        </w:rPr>
        <w:t xml:space="preserve">ems shall be insulated to class </w:t>
      </w:r>
      <w:r w:rsidR="00CF1ECE">
        <w:rPr>
          <w:rFonts w:ascii="Times New Roman" w:hAnsi="Times New Roman"/>
          <w:i/>
          <w:sz w:val="24"/>
          <w:szCs w:val="24"/>
        </w:rPr>
        <w:t xml:space="preserve">A-60. </w:t>
      </w:r>
    </w:p>
    <w:p w14:paraId="2FA737F0" w14:textId="609D587D" w:rsidR="00A9548C" w:rsidRDefault="00A9548C" w:rsidP="00B300FB">
      <w:pPr>
        <w:spacing w:after="0"/>
        <w:rPr>
          <w:rFonts w:ascii="Times New Roman" w:hAnsi="Times New Roman" w:cs="Times New Roman"/>
          <w:sz w:val="24"/>
          <w:szCs w:val="24"/>
        </w:rPr>
      </w:pPr>
    </w:p>
    <w:p w14:paraId="63F59D38" w14:textId="4A7F7F35" w:rsidR="00A9548C" w:rsidRPr="0090280C" w:rsidRDefault="00A9548C" w:rsidP="00B300FB">
      <w:pPr>
        <w:spacing w:after="0"/>
        <w:rPr>
          <w:rFonts w:ascii="Times New Roman" w:hAnsi="Times New Roman" w:cs="Times New Roman"/>
          <w:sz w:val="24"/>
          <w:szCs w:val="24"/>
        </w:rPr>
      </w:pPr>
      <w:r>
        <w:rPr>
          <w:rFonts w:ascii="Times New Roman" w:hAnsi="Times New Roman"/>
          <w:sz w:val="24"/>
          <w:szCs w:val="24"/>
        </w:rPr>
        <w:t>Current section 6 b item 2 becomes new item 4.</w:t>
      </w:r>
    </w:p>
    <w:p w14:paraId="17BBB890" w14:textId="77777777" w:rsidR="001C5EC0" w:rsidRPr="006102D1" w:rsidRDefault="001C5EC0" w:rsidP="00B300FB">
      <w:pPr>
        <w:spacing w:after="0"/>
        <w:rPr>
          <w:rFonts w:ascii="Times New Roman" w:hAnsi="Times New Roman" w:cs="Times New Roman"/>
          <w:sz w:val="24"/>
          <w:szCs w:val="24"/>
        </w:rPr>
      </w:pPr>
    </w:p>
    <w:p w14:paraId="62640BA7" w14:textId="15435411" w:rsidR="0089157C" w:rsidRPr="0090280C" w:rsidRDefault="0089157C" w:rsidP="00B300FB">
      <w:pPr>
        <w:spacing w:after="0"/>
        <w:rPr>
          <w:rFonts w:ascii="Times New Roman" w:hAnsi="Times New Roman" w:cs="Times New Roman"/>
          <w:sz w:val="24"/>
          <w:szCs w:val="24"/>
        </w:rPr>
      </w:pPr>
      <w:r>
        <w:rPr>
          <w:rFonts w:ascii="Times New Roman" w:hAnsi="Times New Roman"/>
          <w:sz w:val="24"/>
          <w:szCs w:val="24"/>
        </w:rPr>
        <w:t>Section 10 item 1.1.2 should read:</w:t>
      </w:r>
    </w:p>
    <w:p w14:paraId="0DE2C43B" w14:textId="2701EC49" w:rsidR="0070520A" w:rsidRDefault="002D21DD" w:rsidP="00B4179A">
      <w:pPr>
        <w:spacing w:after="0"/>
        <w:rPr>
          <w:rFonts w:ascii="Times New Roman" w:hAnsi="Times New Roman" w:cs="Times New Roman"/>
          <w:i/>
          <w:sz w:val="24"/>
          <w:szCs w:val="24"/>
        </w:rPr>
      </w:pPr>
      <w:r>
        <w:rPr>
          <w:rFonts w:ascii="Times New Roman" w:hAnsi="Times New Roman"/>
          <w:sz w:val="24"/>
          <w:szCs w:val="24"/>
        </w:rPr>
        <w:t xml:space="preserve">1.1.2. </w:t>
      </w:r>
      <w:r>
        <w:rPr>
          <w:rFonts w:ascii="Times New Roman" w:hAnsi="Times New Roman"/>
          <w:i/>
          <w:sz w:val="24"/>
          <w:szCs w:val="24"/>
        </w:rPr>
        <w:t>The unit shall have positive air gap in the operating condition.</w:t>
      </w:r>
      <w:r>
        <w:rPr>
          <w:rFonts w:ascii="Times New Roman" w:hAnsi="Times New Roman"/>
          <w:sz w:val="24"/>
          <w:szCs w:val="24"/>
        </w:rPr>
        <w:t xml:space="preserve"> </w:t>
      </w:r>
      <w:r>
        <w:rPr>
          <w:rFonts w:ascii="Times New Roman" w:hAnsi="Times New Roman"/>
          <w:i/>
          <w:sz w:val="24"/>
          <w:szCs w:val="24"/>
        </w:rPr>
        <w:t xml:space="preserve">Column run-up reaching above the underside of the deck </w:t>
      </w:r>
      <w:r w:rsidR="00C93B5A">
        <w:rPr>
          <w:rFonts w:ascii="Times New Roman" w:hAnsi="Times New Roman"/>
          <w:i/>
          <w:sz w:val="24"/>
          <w:szCs w:val="24"/>
        </w:rPr>
        <w:t xml:space="preserve">box </w:t>
      </w:r>
      <w:r>
        <w:rPr>
          <w:rFonts w:ascii="Times New Roman" w:hAnsi="Times New Roman"/>
          <w:i/>
          <w:sz w:val="24"/>
          <w:szCs w:val="24"/>
        </w:rPr>
        <w:t>is not regarded as negative air gap. The unit shall be dimensioned to withstand the effect of run-up.</w:t>
      </w:r>
      <w:r>
        <w:rPr>
          <w:rFonts w:ascii="Times New Roman" w:hAnsi="Times New Roman"/>
          <w:sz w:val="24"/>
          <w:szCs w:val="24"/>
        </w:rPr>
        <w:t xml:space="preserve"> </w:t>
      </w:r>
      <w:r>
        <w:rPr>
          <w:rFonts w:ascii="Times New Roman" w:hAnsi="Times New Roman"/>
          <w:i/>
          <w:sz w:val="24"/>
          <w:szCs w:val="24"/>
        </w:rPr>
        <w:t>Work areas, access areas, escape routes and</w:t>
      </w:r>
      <w:r w:rsidR="00C308A6">
        <w:rPr>
          <w:rFonts w:ascii="Times New Roman" w:hAnsi="Times New Roman"/>
          <w:i/>
          <w:sz w:val="24"/>
          <w:szCs w:val="24"/>
        </w:rPr>
        <w:t xml:space="preserve"> safety critical</w:t>
      </w:r>
      <w:r>
        <w:rPr>
          <w:rFonts w:ascii="Times New Roman" w:hAnsi="Times New Roman"/>
          <w:i/>
          <w:sz w:val="24"/>
          <w:szCs w:val="24"/>
        </w:rPr>
        <w:t xml:space="preserve"> equipment </w:t>
      </w:r>
      <w:r w:rsidR="006102D1">
        <w:rPr>
          <w:rFonts w:ascii="Times New Roman" w:hAnsi="Times New Roman"/>
          <w:i/>
          <w:sz w:val="24"/>
          <w:szCs w:val="24"/>
        </w:rPr>
        <w:t>shall not be exposed to run-up.</w:t>
      </w:r>
      <w:r>
        <w:rPr>
          <w:rFonts w:ascii="Times New Roman" w:hAnsi="Times New Roman"/>
          <w:sz w:val="24"/>
          <w:szCs w:val="24"/>
        </w:rPr>
        <w:t xml:space="preserve"> If the unit is intended to pump overboard ballast in heavy weather in order to increase the distance between the </w:t>
      </w:r>
      <w:r w:rsidR="00BE45A8">
        <w:rPr>
          <w:rFonts w:ascii="Times New Roman" w:hAnsi="Times New Roman"/>
          <w:sz w:val="24"/>
          <w:szCs w:val="24"/>
        </w:rPr>
        <w:t>underside of the deck box</w:t>
      </w:r>
      <w:r>
        <w:rPr>
          <w:rFonts w:ascii="Times New Roman" w:hAnsi="Times New Roman"/>
          <w:sz w:val="24"/>
          <w:szCs w:val="24"/>
        </w:rPr>
        <w:t xml:space="preserve"> and the water level, a procedure on when and how such operation shall be carried out shall be included in the operation manual. </w:t>
      </w:r>
      <w:r>
        <w:rPr>
          <w:rFonts w:ascii="Times New Roman" w:hAnsi="Times New Roman"/>
          <w:i/>
          <w:sz w:val="24"/>
          <w:szCs w:val="24"/>
        </w:rPr>
        <w:t xml:space="preserve">The criteria for when the unit </w:t>
      </w:r>
      <w:r w:rsidR="004D31E7">
        <w:rPr>
          <w:rFonts w:ascii="Times New Roman" w:hAnsi="Times New Roman"/>
          <w:i/>
          <w:sz w:val="24"/>
          <w:szCs w:val="24"/>
        </w:rPr>
        <w:t xml:space="preserve">shall </w:t>
      </w:r>
      <w:r>
        <w:rPr>
          <w:rFonts w:ascii="Times New Roman" w:hAnsi="Times New Roman"/>
          <w:i/>
          <w:sz w:val="24"/>
          <w:szCs w:val="24"/>
        </w:rPr>
        <w:t xml:space="preserve">increase the distance between the </w:t>
      </w:r>
      <w:r w:rsidR="00C93B5A">
        <w:rPr>
          <w:rFonts w:ascii="Times New Roman" w:hAnsi="Times New Roman"/>
          <w:i/>
          <w:sz w:val="24"/>
          <w:szCs w:val="24"/>
        </w:rPr>
        <w:t xml:space="preserve">underside of the </w:t>
      </w:r>
      <w:r>
        <w:rPr>
          <w:rFonts w:ascii="Times New Roman" w:hAnsi="Times New Roman"/>
          <w:i/>
          <w:sz w:val="24"/>
          <w:szCs w:val="24"/>
        </w:rPr>
        <w:t xml:space="preserve">deck </w:t>
      </w:r>
      <w:r w:rsidR="00C93B5A">
        <w:rPr>
          <w:rFonts w:ascii="Times New Roman" w:hAnsi="Times New Roman"/>
          <w:i/>
          <w:sz w:val="24"/>
          <w:szCs w:val="24"/>
        </w:rPr>
        <w:t xml:space="preserve">box </w:t>
      </w:r>
      <w:r>
        <w:rPr>
          <w:rFonts w:ascii="Times New Roman" w:hAnsi="Times New Roman"/>
          <w:i/>
          <w:sz w:val="24"/>
          <w:szCs w:val="24"/>
        </w:rPr>
        <w:t xml:space="preserve">and the water level shall be </w:t>
      </w:r>
      <w:r w:rsidR="004D31E7">
        <w:rPr>
          <w:rFonts w:ascii="Times New Roman" w:hAnsi="Times New Roman"/>
          <w:i/>
          <w:sz w:val="24"/>
          <w:szCs w:val="24"/>
        </w:rPr>
        <w:t>prepared</w:t>
      </w:r>
      <w:r w:rsidR="00657E8B">
        <w:rPr>
          <w:rFonts w:ascii="Times New Roman" w:hAnsi="Times New Roman"/>
          <w:i/>
          <w:sz w:val="24"/>
          <w:szCs w:val="24"/>
        </w:rPr>
        <w:t xml:space="preserve"> </w:t>
      </w:r>
      <w:r>
        <w:rPr>
          <w:rFonts w:ascii="Times New Roman" w:hAnsi="Times New Roman"/>
          <w:i/>
          <w:sz w:val="24"/>
          <w:szCs w:val="24"/>
        </w:rPr>
        <w:t>in accordance with the calculation method in DNVGL-OTG-13 “Prediction of air gap for column-stabilised units” or in accordance with guidelines with an equivalent level of safety.</w:t>
      </w:r>
    </w:p>
    <w:p w14:paraId="6F3D9A7B" w14:textId="77777777" w:rsidR="0070520A" w:rsidRDefault="0070520A" w:rsidP="00B4179A">
      <w:pPr>
        <w:spacing w:after="0"/>
        <w:rPr>
          <w:rFonts w:ascii="Times New Roman" w:hAnsi="Times New Roman" w:cs="Times New Roman"/>
          <w:i/>
          <w:sz w:val="24"/>
          <w:szCs w:val="24"/>
        </w:rPr>
      </w:pPr>
    </w:p>
    <w:p w14:paraId="5D14A99D" w14:textId="4F8EB7A4" w:rsidR="001B2AE0" w:rsidRPr="00A10285" w:rsidRDefault="00B300FB" w:rsidP="00B4179A">
      <w:pPr>
        <w:spacing w:after="0"/>
        <w:rPr>
          <w:rFonts w:ascii="Times New Roman" w:hAnsi="Times New Roman" w:cs="Times New Roman"/>
          <w:sz w:val="24"/>
          <w:szCs w:val="24"/>
        </w:rPr>
      </w:pPr>
      <w:r>
        <w:rPr>
          <w:rFonts w:ascii="Times New Roman" w:hAnsi="Times New Roman"/>
          <w:sz w:val="24"/>
          <w:szCs w:val="24"/>
        </w:rPr>
        <w:t>Section 10 item 1.1.3 should read:</w:t>
      </w:r>
    </w:p>
    <w:p w14:paraId="08EF7026" w14:textId="4B756CD8" w:rsidR="00FB5BED" w:rsidRPr="00A10285" w:rsidRDefault="002D21DD" w:rsidP="00B4179A">
      <w:pPr>
        <w:spacing w:after="0"/>
        <w:rPr>
          <w:rFonts w:ascii="Times New Roman" w:hAnsi="Times New Roman" w:cs="Times New Roman"/>
          <w:sz w:val="24"/>
          <w:szCs w:val="24"/>
        </w:rPr>
      </w:pPr>
      <w:r>
        <w:rPr>
          <w:rFonts w:ascii="Times New Roman" w:hAnsi="Times New Roman"/>
          <w:sz w:val="24"/>
          <w:szCs w:val="24"/>
        </w:rPr>
        <w:t>1.1.3. By means of model tests or by calculation</w:t>
      </w:r>
      <w:r w:rsidR="00247D70">
        <w:rPr>
          <w:rFonts w:ascii="Times New Roman" w:hAnsi="Times New Roman"/>
          <w:sz w:val="24"/>
          <w:szCs w:val="24"/>
        </w:rPr>
        <w:t>s</w:t>
      </w:r>
      <w:r>
        <w:rPr>
          <w:rFonts w:ascii="Times New Roman" w:hAnsi="Times New Roman"/>
          <w:sz w:val="24"/>
          <w:szCs w:val="24"/>
        </w:rPr>
        <w:t xml:space="preserve"> it shall be </w:t>
      </w:r>
      <w:r>
        <w:rPr>
          <w:rFonts w:ascii="Times New Roman" w:hAnsi="Times New Roman"/>
          <w:i/>
          <w:sz w:val="24"/>
          <w:szCs w:val="24"/>
        </w:rPr>
        <w:t xml:space="preserve">documented that the unit in the survival condition is safe in all wave heights and wave </w:t>
      </w:r>
      <w:r w:rsidR="00812C6F">
        <w:rPr>
          <w:rFonts w:ascii="Times New Roman" w:hAnsi="Times New Roman"/>
          <w:i/>
          <w:sz w:val="24"/>
          <w:szCs w:val="24"/>
        </w:rPr>
        <w:t>combinations</w:t>
      </w:r>
      <w:r>
        <w:rPr>
          <w:rFonts w:ascii="Times New Roman" w:hAnsi="Times New Roman"/>
          <w:i/>
          <w:sz w:val="24"/>
          <w:szCs w:val="24"/>
        </w:rPr>
        <w:t xml:space="preserve"> for which the unit is structurally designed</w:t>
      </w:r>
      <w:r>
        <w:rPr>
          <w:rFonts w:ascii="Times New Roman" w:hAnsi="Times New Roman"/>
          <w:sz w:val="24"/>
          <w:szCs w:val="24"/>
        </w:rPr>
        <w:t>.</w:t>
      </w:r>
      <w:r>
        <w:rPr>
          <w:rFonts w:ascii="Times New Roman" w:hAnsi="Times New Roman"/>
          <w:i/>
          <w:sz w:val="24"/>
          <w:szCs w:val="24"/>
        </w:rPr>
        <w:t xml:space="preserve"> In the case of negative clearance between the underside of the deck </w:t>
      </w:r>
      <w:r w:rsidR="00812C6F">
        <w:rPr>
          <w:rFonts w:ascii="Times New Roman" w:hAnsi="Times New Roman"/>
          <w:i/>
          <w:sz w:val="24"/>
          <w:szCs w:val="24"/>
        </w:rPr>
        <w:t xml:space="preserve">box </w:t>
      </w:r>
      <w:r>
        <w:rPr>
          <w:rFonts w:ascii="Times New Roman" w:hAnsi="Times New Roman"/>
          <w:i/>
          <w:sz w:val="24"/>
          <w:szCs w:val="24"/>
        </w:rPr>
        <w:t xml:space="preserve">and the </w:t>
      </w:r>
      <w:r w:rsidR="00C15CEE">
        <w:rPr>
          <w:rFonts w:ascii="Times New Roman" w:hAnsi="Times New Roman"/>
          <w:i/>
          <w:sz w:val="24"/>
          <w:szCs w:val="24"/>
        </w:rPr>
        <w:t xml:space="preserve">wave </w:t>
      </w:r>
      <w:r>
        <w:rPr>
          <w:rFonts w:ascii="Times New Roman" w:hAnsi="Times New Roman"/>
          <w:i/>
          <w:sz w:val="24"/>
          <w:szCs w:val="24"/>
        </w:rPr>
        <w:t>crest</w:t>
      </w:r>
      <w:r w:rsidR="00C15CEE">
        <w:rPr>
          <w:rFonts w:ascii="Times New Roman" w:hAnsi="Times New Roman"/>
          <w:i/>
          <w:sz w:val="24"/>
          <w:szCs w:val="24"/>
        </w:rPr>
        <w:t>s</w:t>
      </w:r>
      <w:r>
        <w:rPr>
          <w:rFonts w:ascii="Times New Roman" w:hAnsi="Times New Roman"/>
          <w:i/>
          <w:sz w:val="24"/>
          <w:szCs w:val="24"/>
        </w:rPr>
        <w:t xml:space="preserve">, the unit, including superstructure and deckhouse, shall be dimensioned for wave impact loads. </w:t>
      </w:r>
      <w:r w:rsidR="00BE7DB4">
        <w:rPr>
          <w:rFonts w:ascii="Times New Roman" w:hAnsi="Times New Roman"/>
          <w:i/>
          <w:sz w:val="24"/>
          <w:szCs w:val="24"/>
        </w:rPr>
        <w:t>G</w:t>
      </w:r>
      <w:r w:rsidR="00224EE5">
        <w:rPr>
          <w:rFonts w:ascii="Times New Roman" w:hAnsi="Times New Roman"/>
          <w:i/>
          <w:sz w:val="24"/>
          <w:szCs w:val="24"/>
        </w:rPr>
        <w:t xml:space="preserve">reen </w:t>
      </w:r>
      <w:r w:rsidR="004E5BFE">
        <w:rPr>
          <w:rFonts w:ascii="Times New Roman" w:hAnsi="Times New Roman"/>
          <w:i/>
          <w:sz w:val="24"/>
          <w:szCs w:val="24"/>
        </w:rPr>
        <w:t>sea</w:t>
      </w:r>
      <w:r w:rsidR="00C308A6">
        <w:rPr>
          <w:rFonts w:ascii="Times New Roman" w:hAnsi="Times New Roman"/>
          <w:i/>
          <w:sz w:val="24"/>
          <w:szCs w:val="24"/>
        </w:rPr>
        <w:t xml:space="preserve"> on deck</w:t>
      </w:r>
      <w:r w:rsidR="00BE7DB4">
        <w:rPr>
          <w:rFonts w:ascii="Times New Roman" w:hAnsi="Times New Roman"/>
          <w:i/>
          <w:sz w:val="24"/>
          <w:szCs w:val="24"/>
        </w:rPr>
        <w:t xml:space="preserve"> shall not be possible.</w:t>
      </w:r>
      <w:r>
        <w:rPr>
          <w:rFonts w:ascii="Times New Roman" w:hAnsi="Times New Roman"/>
          <w:i/>
          <w:sz w:val="24"/>
          <w:szCs w:val="24"/>
        </w:rPr>
        <w:t xml:space="preserve"> Model tests and calculations shall be carried out in accordance with DNVGL-OTG-13 “Prediction of air gap for column-stabilised units” for air gap analyses, DNVGL-OTG-14 “Horizontal wave impact loads for column-stabilised units” for horizontal </w:t>
      </w:r>
      <w:r>
        <w:rPr>
          <w:rFonts w:ascii="Times New Roman" w:hAnsi="Times New Roman"/>
          <w:i/>
          <w:iCs/>
          <w:sz w:val="24"/>
          <w:szCs w:val="24"/>
        </w:rPr>
        <w:t>wave impact load</w:t>
      </w:r>
      <w:r>
        <w:rPr>
          <w:rFonts w:ascii="Times New Roman" w:hAnsi="Times New Roman"/>
          <w:i/>
          <w:sz w:val="24"/>
          <w:szCs w:val="24"/>
        </w:rPr>
        <w:t xml:space="preserve">s, and </w:t>
      </w:r>
      <w:r>
        <w:rPr>
          <w:rFonts w:ascii="Times New Roman" w:hAnsi="Times New Roman"/>
          <w:i/>
          <w:iCs/>
          <w:sz w:val="24"/>
          <w:szCs w:val="24"/>
        </w:rPr>
        <w:t xml:space="preserve">Section 8 “Air gap and wave slamming” of DNVGL RP-C205 “Environmental conditions and environmental loads” for </w:t>
      </w:r>
      <w:r>
        <w:rPr>
          <w:rFonts w:ascii="Times New Roman" w:hAnsi="Times New Roman"/>
          <w:i/>
          <w:iCs/>
          <w:sz w:val="24"/>
          <w:szCs w:val="24"/>
        </w:rPr>
        <w:lastRenderedPageBreak/>
        <w:t>vertical wave impact loads</w:t>
      </w:r>
      <w:r>
        <w:rPr>
          <w:rFonts w:ascii="Times New Roman" w:hAnsi="Times New Roman"/>
          <w:i/>
          <w:sz w:val="24"/>
          <w:szCs w:val="24"/>
        </w:rPr>
        <w:t>. Alternative guidelines with an equivalent level of safety may be used.</w:t>
      </w:r>
    </w:p>
    <w:p w14:paraId="52FCD02A" w14:textId="77777777" w:rsidR="00B300FB" w:rsidRPr="00A10285" w:rsidRDefault="00B300FB" w:rsidP="00B300FB">
      <w:pPr>
        <w:spacing w:after="0"/>
        <w:rPr>
          <w:rFonts w:ascii="Times New Roman" w:hAnsi="Times New Roman" w:cs="Times New Roman"/>
          <w:sz w:val="24"/>
          <w:szCs w:val="24"/>
        </w:rPr>
      </w:pPr>
    </w:p>
    <w:p w14:paraId="6E99C20C" w14:textId="01FCDDFF" w:rsidR="002D21DD" w:rsidRPr="00A10285" w:rsidRDefault="002D21DD" w:rsidP="00FB5BED">
      <w:pPr>
        <w:spacing w:after="0"/>
        <w:rPr>
          <w:rFonts w:ascii="Times New Roman" w:hAnsi="Times New Roman" w:cs="Times New Roman"/>
          <w:sz w:val="24"/>
          <w:szCs w:val="24"/>
        </w:rPr>
      </w:pPr>
      <w:r>
        <w:rPr>
          <w:rFonts w:ascii="Times New Roman" w:hAnsi="Times New Roman"/>
          <w:sz w:val="24"/>
          <w:szCs w:val="24"/>
        </w:rPr>
        <w:t>Section 10 item 1.2 should read:</w:t>
      </w:r>
    </w:p>
    <w:p w14:paraId="045408DE" w14:textId="34190789" w:rsidR="00FB5BED" w:rsidRPr="00A10285" w:rsidRDefault="00FB5BED" w:rsidP="00FB5BED">
      <w:pPr>
        <w:spacing w:after="0"/>
        <w:rPr>
          <w:rFonts w:ascii="Times New Roman" w:hAnsi="Times New Roman" w:cs="Times New Roman"/>
          <w:sz w:val="24"/>
          <w:szCs w:val="24"/>
        </w:rPr>
      </w:pPr>
      <w:r>
        <w:rPr>
          <w:rFonts w:ascii="Times New Roman" w:hAnsi="Times New Roman"/>
          <w:sz w:val="24"/>
          <w:szCs w:val="24"/>
        </w:rPr>
        <w:t>1.2 Jack-up</w:t>
      </w:r>
      <w:r w:rsidR="00493DF4">
        <w:rPr>
          <w:rFonts w:ascii="Times New Roman" w:hAnsi="Times New Roman"/>
          <w:sz w:val="24"/>
          <w:szCs w:val="24"/>
        </w:rPr>
        <w:t xml:space="preserve"> unit</w:t>
      </w:r>
      <w:r>
        <w:rPr>
          <w:rFonts w:ascii="Times New Roman" w:hAnsi="Times New Roman"/>
          <w:sz w:val="24"/>
          <w:szCs w:val="24"/>
        </w:rPr>
        <w:t xml:space="preserve">s. </w:t>
      </w:r>
    </w:p>
    <w:p w14:paraId="26E4EE83" w14:textId="3A6436EC" w:rsidR="00FB5BED" w:rsidRDefault="00FB5BED" w:rsidP="00FB5BED">
      <w:pPr>
        <w:spacing w:after="0"/>
        <w:rPr>
          <w:rFonts w:ascii="Times New Roman" w:hAnsi="Times New Roman"/>
          <w:sz w:val="24"/>
          <w:szCs w:val="24"/>
        </w:rPr>
      </w:pPr>
      <w:r>
        <w:rPr>
          <w:rFonts w:ascii="Times New Roman" w:hAnsi="Times New Roman"/>
          <w:sz w:val="24"/>
          <w:szCs w:val="24"/>
        </w:rPr>
        <w:t xml:space="preserve">In the elevated condition, the distance between the </w:t>
      </w:r>
      <w:r w:rsidRPr="00BE7DB4">
        <w:rPr>
          <w:rFonts w:ascii="Times New Roman" w:hAnsi="Times New Roman"/>
          <w:i/>
          <w:sz w:val="24"/>
          <w:szCs w:val="24"/>
        </w:rPr>
        <w:t xml:space="preserve">underside of the </w:t>
      </w:r>
      <w:r w:rsidR="00493DF4" w:rsidRPr="00BE7DB4">
        <w:rPr>
          <w:rFonts w:ascii="Times New Roman" w:hAnsi="Times New Roman"/>
          <w:i/>
          <w:sz w:val="24"/>
          <w:szCs w:val="24"/>
        </w:rPr>
        <w:t>hull</w:t>
      </w:r>
      <w:r>
        <w:rPr>
          <w:rFonts w:ascii="Times New Roman" w:hAnsi="Times New Roman"/>
          <w:sz w:val="24"/>
          <w:szCs w:val="24"/>
        </w:rPr>
        <w:t xml:space="preserve"> and the maximum wave crest shall be positive for the highest wave crest with an annual probability of 10</w:t>
      </w:r>
      <w:r>
        <w:rPr>
          <w:rFonts w:ascii="Times New Roman" w:hAnsi="Times New Roman"/>
          <w:sz w:val="24"/>
          <w:szCs w:val="24"/>
          <w:vertAlign w:val="superscript"/>
        </w:rPr>
        <w:t>-4</w:t>
      </w:r>
      <w:r>
        <w:rPr>
          <w:rFonts w:ascii="Times New Roman" w:hAnsi="Times New Roman"/>
          <w:sz w:val="24"/>
          <w:szCs w:val="24"/>
        </w:rPr>
        <w:t xml:space="preserve">. The calculation of the maximum design wave crest shall be based on </w:t>
      </w:r>
      <w:r>
        <w:rPr>
          <w:rFonts w:ascii="Times New Roman" w:hAnsi="Times New Roman"/>
          <w:i/>
          <w:sz w:val="24"/>
          <w:szCs w:val="24"/>
        </w:rPr>
        <w:t>the sea level from limit state 2 in the table of section 6 item</w:t>
      </w:r>
      <w:r>
        <w:rPr>
          <w:rFonts w:ascii="Times New Roman" w:hAnsi="Times New Roman"/>
          <w:sz w:val="24"/>
          <w:szCs w:val="24"/>
        </w:rPr>
        <w:t xml:space="preserve"> </w:t>
      </w:r>
      <w:r>
        <w:rPr>
          <w:rFonts w:ascii="Times New Roman" w:hAnsi="Times New Roman"/>
          <w:i/>
          <w:sz w:val="24"/>
          <w:szCs w:val="24"/>
        </w:rPr>
        <w:t>2.2.1.</w:t>
      </w:r>
      <w:r>
        <w:rPr>
          <w:rFonts w:ascii="Times New Roman" w:hAnsi="Times New Roman"/>
          <w:sz w:val="24"/>
          <w:szCs w:val="24"/>
        </w:rPr>
        <w:t xml:space="preserve"> </w:t>
      </w:r>
      <w:r>
        <w:rPr>
          <w:rFonts w:ascii="Times New Roman" w:hAnsi="Times New Roman"/>
          <w:sz w:val="24"/>
          <w:szCs w:val="24"/>
        </w:rPr>
        <w:tab/>
      </w:r>
    </w:p>
    <w:p w14:paraId="4D1A9260" w14:textId="77777777" w:rsidR="006102D1" w:rsidRPr="00A10285" w:rsidRDefault="006102D1" w:rsidP="00FB5BED">
      <w:pPr>
        <w:spacing w:after="0"/>
        <w:rPr>
          <w:rFonts w:ascii="Times New Roman" w:hAnsi="Times New Roman" w:cs="Times New Roman"/>
          <w:sz w:val="24"/>
          <w:szCs w:val="24"/>
        </w:rPr>
      </w:pPr>
    </w:p>
    <w:p w14:paraId="7E9F6C9B" w14:textId="66FCE058" w:rsidR="0089157C" w:rsidRPr="00A10285" w:rsidRDefault="0089157C" w:rsidP="00B300FB">
      <w:pPr>
        <w:spacing w:after="0"/>
        <w:rPr>
          <w:rFonts w:ascii="Times New Roman" w:hAnsi="Times New Roman" w:cs="Times New Roman"/>
          <w:sz w:val="24"/>
          <w:szCs w:val="24"/>
        </w:rPr>
      </w:pPr>
      <w:r>
        <w:rPr>
          <w:rFonts w:ascii="Times New Roman" w:hAnsi="Times New Roman"/>
          <w:sz w:val="24"/>
          <w:szCs w:val="24"/>
        </w:rPr>
        <w:t>Section 13 item 2.1 should read:</w:t>
      </w:r>
    </w:p>
    <w:p w14:paraId="45167BE8" w14:textId="233379A9" w:rsidR="0089157C" w:rsidRPr="00A10285" w:rsidRDefault="0089157C" w:rsidP="00B300FB">
      <w:pPr>
        <w:spacing w:after="0"/>
        <w:rPr>
          <w:rFonts w:ascii="Times New Roman" w:hAnsi="Times New Roman" w:cs="Times New Roman"/>
          <w:sz w:val="24"/>
          <w:szCs w:val="24"/>
        </w:rPr>
      </w:pPr>
      <w:r>
        <w:rPr>
          <w:rFonts w:ascii="Times New Roman" w:hAnsi="Times New Roman"/>
          <w:sz w:val="24"/>
          <w:szCs w:val="24"/>
        </w:rPr>
        <w:t xml:space="preserve">2.1 One or more white lights shall be placed so as to ensure that at least </w:t>
      </w:r>
      <w:r>
        <w:rPr>
          <w:rFonts w:ascii="Times New Roman" w:hAnsi="Times New Roman"/>
          <w:i/>
          <w:sz w:val="24"/>
          <w:szCs w:val="24"/>
        </w:rPr>
        <w:t>one</w:t>
      </w:r>
      <w:r>
        <w:rPr>
          <w:rFonts w:ascii="Times New Roman" w:hAnsi="Times New Roman"/>
          <w:sz w:val="24"/>
          <w:szCs w:val="24"/>
        </w:rPr>
        <w:t xml:space="preserve"> light is visible from any direction. Lights shall be </w:t>
      </w:r>
      <w:r>
        <w:rPr>
          <w:rFonts w:ascii="Times New Roman" w:hAnsi="Times New Roman"/>
          <w:i/>
          <w:sz w:val="24"/>
          <w:szCs w:val="24"/>
        </w:rPr>
        <w:t>placed</w:t>
      </w:r>
      <w:r>
        <w:rPr>
          <w:rFonts w:ascii="Times New Roman" w:hAnsi="Times New Roman"/>
          <w:sz w:val="24"/>
          <w:szCs w:val="24"/>
        </w:rPr>
        <w:t xml:space="preserve"> not more than 30 metres and not less than </w:t>
      </w:r>
      <w:r>
        <w:rPr>
          <w:rFonts w:ascii="Times New Roman" w:hAnsi="Times New Roman"/>
          <w:i/>
          <w:sz w:val="24"/>
          <w:szCs w:val="24"/>
        </w:rPr>
        <w:t>6</w:t>
      </w:r>
      <w:r>
        <w:rPr>
          <w:rFonts w:ascii="Times New Roman" w:hAnsi="Times New Roman"/>
          <w:sz w:val="24"/>
          <w:szCs w:val="24"/>
        </w:rPr>
        <w:t xml:space="preserve"> metres above water level. </w:t>
      </w:r>
      <w:r>
        <w:rPr>
          <w:rFonts w:ascii="Times New Roman" w:hAnsi="Times New Roman"/>
          <w:i/>
          <w:sz w:val="24"/>
          <w:szCs w:val="24"/>
        </w:rPr>
        <w:t>If the unit is so arranged that the lights cannot be placed 30 metres or less above water level, the lights may be placed higher, but as close to 30 metres as possible.</w:t>
      </w:r>
      <w:r>
        <w:rPr>
          <w:rFonts w:ascii="Times New Roman" w:hAnsi="Times New Roman"/>
          <w:sz w:val="24"/>
          <w:szCs w:val="24"/>
        </w:rPr>
        <w:t xml:space="preserve"> The lights shall be visible for at least 15 nautical miles on a dark night with good visibility. A back-up system with a nominal visibility of at least 10 nautical miles shall be arranged. The lights shall give a signal in the shape of the Morse letter U every 15 seconds. The lenses of the lights shall be so constructed as to ensure that the light, in addition to being visible for the above-mentioned distance, is visible from anywhere in the vicinity of the unit.</w:t>
      </w:r>
    </w:p>
    <w:p w14:paraId="2FD58FAD" w14:textId="77777777" w:rsidR="009A1904" w:rsidRPr="006C7ABC" w:rsidRDefault="009A1904" w:rsidP="009A1904">
      <w:pPr>
        <w:spacing w:after="0"/>
        <w:rPr>
          <w:rFonts w:ascii="Times New Roman" w:hAnsi="Times New Roman" w:cs="Times New Roman"/>
          <w:sz w:val="24"/>
          <w:szCs w:val="24"/>
        </w:rPr>
      </w:pPr>
      <w:r>
        <w:rPr>
          <w:rFonts w:ascii="Times New Roman" w:hAnsi="Times New Roman"/>
          <w:sz w:val="24"/>
          <w:szCs w:val="24"/>
        </w:rPr>
        <w:t xml:space="preserve"> </w:t>
      </w:r>
    </w:p>
    <w:p w14:paraId="29C62D5A" w14:textId="77777777" w:rsidR="00B300FB" w:rsidRPr="00A10285" w:rsidRDefault="00B300FB" w:rsidP="00B300FB">
      <w:pPr>
        <w:spacing w:after="0"/>
        <w:rPr>
          <w:rFonts w:ascii="Times New Roman" w:hAnsi="Times New Roman" w:cs="Times New Roman"/>
          <w:sz w:val="24"/>
          <w:szCs w:val="24"/>
        </w:rPr>
      </w:pPr>
    </w:p>
    <w:p w14:paraId="4FF36D9B" w14:textId="188C514A" w:rsidR="00B300FB" w:rsidRPr="00A10285" w:rsidRDefault="00B300FB" w:rsidP="00EC79D8">
      <w:pPr>
        <w:spacing w:after="0"/>
        <w:jc w:val="center"/>
        <w:rPr>
          <w:rFonts w:ascii="Times New Roman" w:hAnsi="Times New Roman" w:cs="Times New Roman"/>
          <w:b/>
          <w:sz w:val="24"/>
          <w:szCs w:val="24"/>
        </w:rPr>
      </w:pPr>
      <w:r>
        <w:rPr>
          <w:rFonts w:ascii="Times New Roman" w:hAnsi="Times New Roman"/>
          <w:b/>
          <w:sz w:val="24"/>
          <w:szCs w:val="24"/>
        </w:rPr>
        <w:t>II</w:t>
      </w:r>
    </w:p>
    <w:p w14:paraId="01FC1330" w14:textId="77777777" w:rsidR="006A6BD7" w:rsidRPr="00A10285" w:rsidRDefault="006A6BD7" w:rsidP="00EC79D8">
      <w:pPr>
        <w:spacing w:after="0"/>
        <w:jc w:val="center"/>
        <w:rPr>
          <w:rFonts w:ascii="Times New Roman" w:hAnsi="Times New Roman" w:cs="Times New Roman"/>
          <w:b/>
          <w:sz w:val="24"/>
          <w:szCs w:val="24"/>
        </w:rPr>
      </w:pPr>
    </w:p>
    <w:p w14:paraId="427A8C06" w14:textId="6F4038D2" w:rsidR="00186673" w:rsidRPr="00A10285" w:rsidRDefault="00B300FB" w:rsidP="00306586">
      <w:pPr>
        <w:spacing w:after="0"/>
        <w:rPr>
          <w:rFonts w:ascii="Times New Roman" w:hAnsi="Times New Roman" w:cs="Times New Roman"/>
          <w:b/>
          <w:sz w:val="24"/>
          <w:szCs w:val="24"/>
        </w:rPr>
      </w:pPr>
      <w:r>
        <w:rPr>
          <w:rFonts w:ascii="Times New Roman" w:hAnsi="Times New Roman"/>
          <w:sz w:val="24"/>
          <w:szCs w:val="24"/>
        </w:rPr>
        <w:t xml:space="preserve">The Regulation enters into force on 1 January 2019. </w:t>
      </w:r>
    </w:p>
    <w:sectPr w:rsidR="00186673" w:rsidRPr="00A102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3B4C"/>
    <w:multiLevelType w:val="hybridMultilevel"/>
    <w:tmpl w:val="F5321C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7C10287"/>
    <w:multiLevelType w:val="hybridMultilevel"/>
    <w:tmpl w:val="1A64B6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B11106C"/>
    <w:multiLevelType w:val="hybridMultilevel"/>
    <w:tmpl w:val="C6F67BB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DA048FE"/>
    <w:multiLevelType w:val="hybridMultilevel"/>
    <w:tmpl w:val="4DECC67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CAC6BC5"/>
    <w:multiLevelType w:val="hybridMultilevel"/>
    <w:tmpl w:val="E3E0B6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D5B1B2F"/>
    <w:multiLevelType w:val="hybridMultilevel"/>
    <w:tmpl w:val="D9C271AE"/>
    <w:lvl w:ilvl="0" w:tplc="7506C21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3EF1EBF"/>
    <w:multiLevelType w:val="hybridMultilevel"/>
    <w:tmpl w:val="8DC8DED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6"/>
  </w:num>
  <w:num w:numId="2">
    <w:abstractNumId w:val="5"/>
  </w:num>
  <w:num w:numId="3">
    <w:abstractNumId w:val="1"/>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GB" w:vendorID="64" w:dllVersion="131078" w:nlCheck="1" w:checkStyle="1"/>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73"/>
    <w:rsid w:val="00023B10"/>
    <w:rsid w:val="00025A89"/>
    <w:rsid w:val="00027ADD"/>
    <w:rsid w:val="0004197F"/>
    <w:rsid w:val="00056B50"/>
    <w:rsid w:val="00067EC4"/>
    <w:rsid w:val="000770C8"/>
    <w:rsid w:val="00081091"/>
    <w:rsid w:val="00093F9A"/>
    <w:rsid w:val="000B1BE4"/>
    <w:rsid w:val="000B5840"/>
    <w:rsid w:val="000C19A2"/>
    <w:rsid w:val="000C3013"/>
    <w:rsid w:val="000C3A6E"/>
    <w:rsid w:val="000D57F9"/>
    <w:rsid w:val="000D6B23"/>
    <w:rsid w:val="000E236E"/>
    <w:rsid w:val="00111ACD"/>
    <w:rsid w:val="00113290"/>
    <w:rsid w:val="00130678"/>
    <w:rsid w:val="00133397"/>
    <w:rsid w:val="00171102"/>
    <w:rsid w:val="00186673"/>
    <w:rsid w:val="001A6C8C"/>
    <w:rsid w:val="001B2AE0"/>
    <w:rsid w:val="001C5EC0"/>
    <w:rsid w:val="00213BB8"/>
    <w:rsid w:val="002165FA"/>
    <w:rsid w:val="002200C3"/>
    <w:rsid w:val="00222AC4"/>
    <w:rsid w:val="00224EE5"/>
    <w:rsid w:val="002278CE"/>
    <w:rsid w:val="00236C6F"/>
    <w:rsid w:val="0024044C"/>
    <w:rsid w:val="00245FA4"/>
    <w:rsid w:val="00247D70"/>
    <w:rsid w:val="00256DED"/>
    <w:rsid w:val="00261F31"/>
    <w:rsid w:val="00271289"/>
    <w:rsid w:val="00282211"/>
    <w:rsid w:val="00286C69"/>
    <w:rsid w:val="0029633B"/>
    <w:rsid w:val="002A52D5"/>
    <w:rsid w:val="002A5418"/>
    <w:rsid w:val="002B0FCF"/>
    <w:rsid w:val="002C0C17"/>
    <w:rsid w:val="002C75E8"/>
    <w:rsid w:val="002D21DD"/>
    <w:rsid w:val="002E2ABD"/>
    <w:rsid w:val="00303753"/>
    <w:rsid w:val="00306586"/>
    <w:rsid w:val="003100BA"/>
    <w:rsid w:val="003234C2"/>
    <w:rsid w:val="00323A7C"/>
    <w:rsid w:val="00331329"/>
    <w:rsid w:val="00355ABB"/>
    <w:rsid w:val="0036074E"/>
    <w:rsid w:val="00365547"/>
    <w:rsid w:val="00385A0B"/>
    <w:rsid w:val="0038734C"/>
    <w:rsid w:val="00391BEB"/>
    <w:rsid w:val="003D1859"/>
    <w:rsid w:val="003D264A"/>
    <w:rsid w:val="003F048B"/>
    <w:rsid w:val="003F63AA"/>
    <w:rsid w:val="004051B4"/>
    <w:rsid w:val="0041093D"/>
    <w:rsid w:val="00422C61"/>
    <w:rsid w:val="00425E9B"/>
    <w:rsid w:val="00441BF2"/>
    <w:rsid w:val="0046127A"/>
    <w:rsid w:val="004644FD"/>
    <w:rsid w:val="00471FD9"/>
    <w:rsid w:val="00474878"/>
    <w:rsid w:val="00493DF4"/>
    <w:rsid w:val="004A7BAE"/>
    <w:rsid w:val="004A7CC4"/>
    <w:rsid w:val="004C0E5C"/>
    <w:rsid w:val="004C0F4D"/>
    <w:rsid w:val="004C6CAC"/>
    <w:rsid w:val="004D31E7"/>
    <w:rsid w:val="004E5BFE"/>
    <w:rsid w:val="00503801"/>
    <w:rsid w:val="005135E3"/>
    <w:rsid w:val="00522515"/>
    <w:rsid w:val="00526EBB"/>
    <w:rsid w:val="00532CA1"/>
    <w:rsid w:val="005366F0"/>
    <w:rsid w:val="00542479"/>
    <w:rsid w:val="0055274D"/>
    <w:rsid w:val="00554CB7"/>
    <w:rsid w:val="00554F33"/>
    <w:rsid w:val="005616B9"/>
    <w:rsid w:val="00567FDD"/>
    <w:rsid w:val="005704F6"/>
    <w:rsid w:val="0057570B"/>
    <w:rsid w:val="00581454"/>
    <w:rsid w:val="005C30AB"/>
    <w:rsid w:val="005C6025"/>
    <w:rsid w:val="005D0678"/>
    <w:rsid w:val="005D0FF0"/>
    <w:rsid w:val="005E0D9A"/>
    <w:rsid w:val="005F1880"/>
    <w:rsid w:val="00602E72"/>
    <w:rsid w:val="0060363A"/>
    <w:rsid w:val="006102D1"/>
    <w:rsid w:val="006137E4"/>
    <w:rsid w:val="006159FE"/>
    <w:rsid w:val="00615A09"/>
    <w:rsid w:val="00624E44"/>
    <w:rsid w:val="006443D6"/>
    <w:rsid w:val="00657E8B"/>
    <w:rsid w:val="006A17BE"/>
    <w:rsid w:val="006A1A8A"/>
    <w:rsid w:val="006A6BD7"/>
    <w:rsid w:val="006B1EE9"/>
    <w:rsid w:val="006C03E6"/>
    <w:rsid w:val="006C7ABC"/>
    <w:rsid w:val="006D4B16"/>
    <w:rsid w:val="006E29A4"/>
    <w:rsid w:val="00703195"/>
    <w:rsid w:val="00704202"/>
    <w:rsid w:val="0070520A"/>
    <w:rsid w:val="007067A2"/>
    <w:rsid w:val="00714EE9"/>
    <w:rsid w:val="00721B92"/>
    <w:rsid w:val="007308D2"/>
    <w:rsid w:val="00740175"/>
    <w:rsid w:val="00743580"/>
    <w:rsid w:val="00771A84"/>
    <w:rsid w:val="0078099E"/>
    <w:rsid w:val="00785EA8"/>
    <w:rsid w:val="00795566"/>
    <w:rsid w:val="007A5A8F"/>
    <w:rsid w:val="007B3E95"/>
    <w:rsid w:val="007C4B8B"/>
    <w:rsid w:val="007D3F37"/>
    <w:rsid w:val="007D6415"/>
    <w:rsid w:val="007E195C"/>
    <w:rsid w:val="007E7211"/>
    <w:rsid w:val="007F4BE3"/>
    <w:rsid w:val="008104F0"/>
    <w:rsid w:val="00812C6F"/>
    <w:rsid w:val="00824FA2"/>
    <w:rsid w:val="008377B0"/>
    <w:rsid w:val="00841578"/>
    <w:rsid w:val="0086455F"/>
    <w:rsid w:val="008669D8"/>
    <w:rsid w:val="0087118D"/>
    <w:rsid w:val="008850F5"/>
    <w:rsid w:val="00887AAF"/>
    <w:rsid w:val="0089157C"/>
    <w:rsid w:val="008A6098"/>
    <w:rsid w:val="008B14AE"/>
    <w:rsid w:val="008E38BE"/>
    <w:rsid w:val="008F6E6E"/>
    <w:rsid w:val="0090280C"/>
    <w:rsid w:val="00915BFA"/>
    <w:rsid w:val="00923E9D"/>
    <w:rsid w:val="009363CF"/>
    <w:rsid w:val="00937D8F"/>
    <w:rsid w:val="0094327C"/>
    <w:rsid w:val="009476D7"/>
    <w:rsid w:val="00956946"/>
    <w:rsid w:val="009644A8"/>
    <w:rsid w:val="009752F4"/>
    <w:rsid w:val="009856A2"/>
    <w:rsid w:val="009A1768"/>
    <w:rsid w:val="009A1904"/>
    <w:rsid w:val="009A778D"/>
    <w:rsid w:val="009B26F9"/>
    <w:rsid w:val="009B6699"/>
    <w:rsid w:val="009D3861"/>
    <w:rsid w:val="009E055D"/>
    <w:rsid w:val="00A0180A"/>
    <w:rsid w:val="00A05198"/>
    <w:rsid w:val="00A07546"/>
    <w:rsid w:val="00A07560"/>
    <w:rsid w:val="00A10285"/>
    <w:rsid w:val="00A129EC"/>
    <w:rsid w:val="00A226A3"/>
    <w:rsid w:val="00A26761"/>
    <w:rsid w:val="00A26CDB"/>
    <w:rsid w:val="00A54E25"/>
    <w:rsid w:val="00A70007"/>
    <w:rsid w:val="00A75F7D"/>
    <w:rsid w:val="00A8472D"/>
    <w:rsid w:val="00A9135C"/>
    <w:rsid w:val="00A91590"/>
    <w:rsid w:val="00A9548C"/>
    <w:rsid w:val="00AA3A4D"/>
    <w:rsid w:val="00AB3D97"/>
    <w:rsid w:val="00AC2ABB"/>
    <w:rsid w:val="00AF4487"/>
    <w:rsid w:val="00AF5CBE"/>
    <w:rsid w:val="00B03B87"/>
    <w:rsid w:val="00B06682"/>
    <w:rsid w:val="00B16362"/>
    <w:rsid w:val="00B165AF"/>
    <w:rsid w:val="00B17BA1"/>
    <w:rsid w:val="00B23F96"/>
    <w:rsid w:val="00B26EA6"/>
    <w:rsid w:val="00B300FB"/>
    <w:rsid w:val="00B30B52"/>
    <w:rsid w:val="00B4179A"/>
    <w:rsid w:val="00B43184"/>
    <w:rsid w:val="00B4451E"/>
    <w:rsid w:val="00B54A02"/>
    <w:rsid w:val="00B61A62"/>
    <w:rsid w:val="00B719BE"/>
    <w:rsid w:val="00B81D9B"/>
    <w:rsid w:val="00B90523"/>
    <w:rsid w:val="00B92D2A"/>
    <w:rsid w:val="00B93E96"/>
    <w:rsid w:val="00BD3FCF"/>
    <w:rsid w:val="00BE3619"/>
    <w:rsid w:val="00BE45A8"/>
    <w:rsid w:val="00BE5C67"/>
    <w:rsid w:val="00BE7DB4"/>
    <w:rsid w:val="00BF1213"/>
    <w:rsid w:val="00C15CEE"/>
    <w:rsid w:val="00C308A6"/>
    <w:rsid w:val="00C361F3"/>
    <w:rsid w:val="00C4165A"/>
    <w:rsid w:val="00C41EBF"/>
    <w:rsid w:val="00C477D4"/>
    <w:rsid w:val="00C5489A"/>
    <w:rsid w:val="00C568DF"/>
    <w:rsid w:val="00C83394"/>
    <w:rsid w:val="00C93B5A"/>
    <w:rsid w:val="00CA5938"/>
    <w:rsid w:val="00CB70E0"/>
    <w:rsid w:val="00CD0D19"/>
    <w:rsid w:val="00CE7B9B"/>
    <w:rsid w:val="00CF1ECE"/>
    <w:rsid w:val="00D0131F"/>
    <w:rsid w:val="00D04301"/>
    <w:rsid w:val="00D17D1A"/>
    <w:rsid w:val="00D25ABD"/>
    <w:rsid w:val="00D26F57"/>
    <w:rsid w:val="00D32315"/>
    <w:rsid w:val="00D35143"/>
    <w:rsid w:val="00D37811"/>
    <w:rsid w:val="00D51342"/>
    <w:rsid w:val="00D5332A"/>
    <w:rsid w:val="00D60065"/>
    <w:rsid w:val="00D6045A"/>
    <w:rsid w:val="00D61197"/>
    <w:rsid w:val="00D63788"/>
    <w:rsid w:val="00D66758"/>
    <w:rsid w:val="00D80B49"/>
    <w:rsid w:val="00D96294"/>
    <w:rsid w:val="00D9682C"/>
    <w:rsid w:val="00DA022F"/>
    <w:rsid w:val="00DC20B3"/>
    <w:rsid w:val="00DC6985"/>
    <w:rsid w:val="00DD7A3A"/>
    <w:rsid w:val="00DE0A34"/>
    <w:rsid w:val="00DF0321"/>
    <w:rsid w:val="00E01FBB"/>
    <w:rsid w:val="00E10E60"/>
    <w:rsid w:val="00E12A48"/>
    <w:rsid w:val="00E2646D"/>
    <w:rsid w:val="00E3346E"/>
    <w:rsid w:val="00E36033"/>
    <w:rsid w:val="00E41AF3"/>
    <w:rsid w:val="00E74A7B"/>
    <w:rsid w:val="00E81D16"/>
    <w:rsid w:val="00E85AB2"/>
    <w:rsid w:val="00E91A56"/>
    <w:rsid w:val="00EA5D2C"/>
    <w:rsid w:val="00EB7C07"/>
    <w:rsid w:val="00EC496E"/>
    <w:rsid w:val="00EC79D8"/>
    <w:rsid w:val="00ED247A"/>
    <w:rsid w:val="00EE7A8A"/>
    <w:rsid w:val="00EF51D8"/>
    <w:rsid w:val="00F049EF"/>
    <w:rsid w:val="00F17CD3"/>
    <w:rsid w:val="00F22AB5"/>
    <w:rsid w:val="00F22F4C"/>
    <w:rsid w:val="00F2325F"/>
    <w:rsid w:val="00F371EF"/>
    <w:rsid w:val="00F55780"/>
    <w:rsid w:val="00F665A9"/>
    <w:rsid w:val="00F952EE"/>
    <w:rsid w:val="00FA1B3C"/>
    <w:rsid w:val="00FA3912"/>
    <w:rsid w:val="00FB5BED"/>
    <w:rsid w:val="00FD6963"/>
    <w:rsid w:val="00FE31D3"/>
    <w:rsid w:val="00FE515C"/>
    <w:rsid w:val="00FE5AE6"/>
    <w:rsid w:val="00FF40B1"/>
    <w:rsid w:val="00FF46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D93FC"/>
  <w15:chartTrackingRefBased/>
  <w15:docId w15:val="{56533714-CD64-484B-A5CA-541F1CD4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186673"/>
    <w:rPr>
      <w:sz w:val="16"/>
      <w:szCs w:val="16"/>
    </w:rPr>
  </w:style>
  <w:style w:type="paragraph" w:styleId="Merknadstekst">
    <w:name w:val="annotation text"/>
    <w:basedOn w:val="Normal"/>
    <w:link w:val="MerknadstekstTegn"/>
    <w:uiPriority w:val="99"/>
    <w:unhideWhenUsed/>
    <w:rsid w:val="00186673"/>
    <w:pPr>
      <w:spacing w:after="200" w:line="240" w:lineRule="auto"/>
    </w:pPr>
    <w:rPr>
      <w:sz w:val="20"/>
      <w:szCs w:val="20"/>
    </w:rPr>
  </w:style>
  <w:style w:type="character" w:customStyle="1" w:styleId="MerknadstekstTegn">
    <w:name w:val="Merknadstekst Tegn"/>
    <w:basedOn w:val="Standardskriftforavsnitt"/>
    <w:link w:val="Merknadstekst"/>
    <w:uiPriority w:val="99"/>
    <w:rsid w:val="00186673"/>
    <w:rPr>
      <w:sz w:val="20"/>
      <w:szCs w:val="20"/>
    </w:rPr>
  </w:style>
  <w:style w:type="paragraph" w:styleId="Bobletekst">
    <w:name w:val="Balloon Text"/>
    <w:basedOn w:val="Normal"/>
    <w:link w:val="BobletekstTegn"/>
    <w:uiPriority w:val="99"/>
    <w:semiHidden/>
    <w:unhideWhenUsed/>
    <w:rsid w:val="0018667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86673"/>
    <w:rPr>
      <w:rFonts w:ascii="Segoe UI" w:hAnsi="Segoe UI" w:cs="Segoe UI"/>
      <w:sz w:val="18"/>
      <w:szCs w:val="18"/>
    </w:rPr>
  </w:style>
  <w:style w:type="table" w:styleId="Tabellrutenett">
    <w:name w:val="Table Grid"/>
    <w:basedOn w:val="Vanligtabell"/>
    <w:uiPriority w:val="39"/>
    <w:rsid w:val="00C83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1093D"/>
    <w:pPr>
      <w:ind w:left="720"/>
      <w:contextualSpacing/>
    </w:pPr>
  </w:style>
  <w:style w:type="paragraph" w:styleId="Kommentaremne">
    <w:name w:val="annotation subject"/>
    <w:basedOn w:val="Merknadstekst"/>
    <w:next w:val="Merknadstekst"/>
    <w:link w:val="KommentaremneTegn"/>
    <w:uiPriority w:val="99"/>
    <w:semiHidden/>
    <w:unhideWhenUsed/>
    <w:rsid w:val="009856A2"/>
    <w:pPr>
      <w:spacing w:after="160"/>
    </w:pPr>
    <w:rPr>
      <w:b/>
      <w:bCs/>
    </w:rPr>
  </w:style>
  <w:style w:type="character" w:customStyle="1" w:styleId="KommentaremneTegn">
    <w:name w:val="Kommentaremne Tegn"/>
    <w:basedOn w:val="MerknadstekstTegn"/>
    <w:link w:val="Kommentaremne"/>
    <w:uiPriority w:val="99"/>
    <w:semiHidden/>
    <w:rsid w:val="009856A2"/>
    <w:rPr>
      <w:b/>
      <w:bCs/>
      <w:sz w:val="20"/>
      <w:szCs w:val="20"/>
    </w:rPr>
  </w:style>
  <w:style w:type="paragraph" w:styleId="Revisjon">
    <w:name w:val="Revision"/>
    <w:hidden/>
    <w:uiPriority w:val="99"/>
    <w:semiHidden/>
    <w:rsid w:val="00DF03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68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DIR Dokument" ma:contentTypeID="0x0101008ABC6F4325FBF146B7577C860B30D3600100A540CFBBA13EF742A2FD376D6DEE02CB" ma:contentTypeVersion="209" ma:contentTypeDescription="Opprett et nytt dokument" ma:contentTypeScope="" ma:versionID="7b33582f4be514e81799d797ead247c4">
  <xsd:schema xmlns:xsd="http://www.w3.org/2001/XMLSchema" xmlns:xs="http://www.w3.org/2001/XMLSchema" xmlns:p="http://schemas.microsoft.com/office/2006/metadata/properties" xmlns:ns2="1065ab05-f7f8-4724-b49f-1e8bf2acbb1d" xmlns:ns3="f2ec8d3c-c12f-424c-926f-1f8ebca512fc" targetNamespace="http://schemas.microsoft.com/office/2006/metadata/properties" ma:root="true" ma:fieldsID="0fcf42919779e2de63daf9c3dded4bb8" ns2:_="" ns3:_="">
    <xsd:import namespace="1065ab05-f7f8-4724-b49f-1e8bf2acbb1d"/>
    <xsd:import namespace="f2ec8d3c-c12f-424c-926f-1f8ebca512fc"/>
    <xsd:element name="properties">
      <xsd:complexType>
        <xsd:sequence>
          <xsd:element name="documentManagement">
            <xsd:complexType>
              <xsd:all>
                <xsd:element ref="ns2:c2aae540edc840ac85a95d0cdccae6b9" minOccurs="0"/>
                <xsd:element ref="ns2:TaxCatchAll" minOccurs="0"/>
                <xsd:element ref="ns2:TaxCatchAllLabel" minOccurs="0"/>
                <xsd:element ref="ns2:o8284724205e42c8a56db8ff4f329779" minOccurs="0"/>
                <xsd:element ref="ns2:l6cda3eed2d14ea999d67a7bcceae600" minOccurs="0"/>
                <xsd:element ref="ns2:TaxKeywordTaxHTFiel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5ab05-f7f8-4724-b49f-1e8bf2acbb1d" elementFormDefault="qualified">
    <xsd:import namespace="http://schemas.microsoft.com/office/2006/documentManagement/types"/>
    <xsd:import namespace="http://schemas.microsoft.com/office/infopath/2007/PartnerControls"/>
    <xsd:element name="c2aae540edc840ac85a95d0cdccae6b9" ma:index="8" ma:taxonomy="true" ma:internalName="c2aae540edc840ac85a95d0cdccae6b9" ma:taxonomyFieldName="Dokumenttype" ma:displayName="Dokumenttype" ma:default="" ma:fieldId="{c2aae540-edc8-40ac-85a9-5d0cdccae6b9}" ma:sspId="2f595842-50c2-439a-8ba8-4650dfbf24bb" ma:termSetId="a4d67b3d-a4fb-4274-9efc-3bca3db69fa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43cc781-9448-439e-85ea-ecaac893933e}" ma:internalName="TaxCatchAll" ma:showField="CatchAllData" ma:web="f2ec8d3c-c12f-424c-926f-1f8ebca512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3cc781-9448-439e-85ea-ecaac893933e}" ma:internalName="TaxCatchAllLabel" ma:readOnly="true" ma:showField="CatchAllDataLabel" ma:web="f2ec8d3c-c12f-424c-926f-1f8ebca512fc">
      <xsd:complexType>
        <xsd:complexContent>
          <xsd:extension base="dms:MultiChoiceLookup">
            <xsd:sequence>
              <xsd:element name="Value" type="dms:Lookup" maxOccurs="unbounded" minOccurs="0" nillable="true"/>
            </xsd:sequence>
          </xsd:extension>
        </xsd:complexContent>
      </xsd:complexType>
    </xsd:element>
    <xsd:element name="o8284724205e42c8a56db8ff4f329779" ma:index="12" ma:taxonomy="true" ma:internalName="o8284724205e42c8a56db8ff4f329779" ma:taxonomyFieldName="DiciplineArea" ma:displayName="Fagområde" ma:default="" ma:fieldId="{88284724-205e-42c8-a56d-b8ff4f329779}" ma:taxonomyMulti="true" ma:sspId="2f595842-50c2-439a-8ba8-4650dfbf24bb" ma:termSetId="d9e37eea-9449-4b77-afa9-0f05c002d48b" ma:anchorId="00000000-0000-0000-0000-000000000000" ma:open="false" ma:isKeyword="false">
      <xsd:complexType>
        <xsd:sequence>
          <xsd:element ref="pc:Terms" minOccurs="0" maxOccurs="1"/>
        </xsd:sequence>
      </xsd:complexType>
    </xsd:element>
    <xsd:element name="l6cda3eed2d14ea999d67a7bcceae600" ma:index="14" nillable="true" ma:taxonomy="true" ma:internalName="l6cda3eed2d14ea999d67a7bcceae600" ma:taxonomyFieldName="Organisasjon" ma:displayName="Organisasjon" ma:readOnly="false" ma:default="214;#Flyttbare innretninger|3e4f4dac-4115-4781-ad80-c9a468211605" ma:fieldId="{56cda3ee-d2d1-4ea9-99d6-7a7bcceae600}" ma:sspId="2f595842-50c2-439a-8ba8-4650dfbf24bb" ma:termSetId="be71d145-eb2f-4372-8d5c-c74b112189f5"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Organisasjonsnøkkelord" ma:fieldId="{23f27201-bee3-471e-b2e7-b64fd8b7ca38}" ma:taxonomyMulti="true" ma:sspId="2f595842-50c2-439a-8ba8-4650dfbf24b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ec8d3c-c12f-424c-926f-1f8ebca512fc" elementFormDefault="qualified">
    <xsd:import namespace="http://schemas.microsoft.com/office/2006/documentManagement/types"/>
    <xsd:import namespace="http://schemas.microsoft.com/office/infopath/2007/PartnerControls"/>
    <xsd:element name="_dlc_DocId" ma:index="18" nillable="true" ma:displayName="Dokument-ID-verdi" ma:description="Verdien for dokument-IDen som er tilordnet elementet." ma:internalName="_dlc_DocId" ma:readOnly="true">
      <xsd:simpleType>
        <xsd:restriction base="dms:Text"/>
      </xsd:simpleType>
    </xsd:element>
    <xsd:element name="_dlc_DocIdUrl" ma:index="1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f595842-50c2-439a-8ba8-4650dfbf24bb" ContentTypeId="0x0101008ABC6F4325FBF146B7577C860B30D360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6cda3eed2d14ea999d67a7bcceae600 xmlns="1065ab05-f7f8-4724-b49f-1e8bf2acbb1d">
      <Terms xmlns="http://schemas.microsoft.com/office/infopath/2007/PartnerControls">
        <TermInfo xmlns="http://schemas.microsoft.com/office/infopath/2007/PartnerControls">
          <TermName xmlns="http://schemas.microsoft.com/office/infopath/2007/PartnerControls">Flyttbare innretninger</TermName>
          <TermId xmlns="http://schemas.microsoft.com/office/infopath/2007/PartnerControls">3e4f4dac-4115-4781-ad80-c9a468211605</TermId>
        </TermInfo>
      </Terms>
    </l6cda3eed2d14ea999d67a7bcceae600>
    <TaxCatchAll xmlns="1065ab05-f7f8-4724-b49f-1e8bf2acbb1d">
      <Value>75</Value>
      <Value>214</Value>
      <Value>240</Value>
    </TaxCatchAll>
    <c2aae540edc840ac85a95d0cdccae6b9 xmlns="1065ab05-f7f8-4724-b49f-1e8bf2acbb1d">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22ad557f-b9fa-45ba-8d6f-27dfb38a65f0</TermId>
        </TermInfo>
      </Terms>
    </c2aae540edc840ac85a95d0cdccae6b9>
    <o8284724205e42c8a56db8ff4f329779 xmlns="1065ab05-f7f8-4724-b49f-1e8bf2acbb1d">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2cde9afc-3139-47d7-a23a-7d87f413c98c</TermId>
        </TermInfo>
      </Terms>
    </o8284724205e42c8a56db8ff4f329779>
    <TaxKeywordTaxHTField xmlns="1065ab05-f7f8-4724-b49f-1e8bf2acbb1d">
      <Terms xmlns="http://schemas.microsoft.com/office/infopath/2007/PartnerControls"/>
    </TaxKeywordTaxHTField>
    <_dlc_DocId xmlns="f2ec8d3c-c12f-424c-926f-1f8ebca512fc">FJPNMAMED2PC-609681684-411</_dlc_DocId>
    <_dlc_DocIdUrl xmlns="f2ec8d3c-c12f-424c-926f-1f8ebca512fc">
      <Url>https://sps.sjofartsdir.no/avdeling/fs/FI/_layouts/15/DocIdRedir.aspx?ID=FJPNMAMED2PC-609681684-411</Url>
      <Description>FJPNMAMED2PC-609681684-411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BF297-F720-46CA-BC3D-23FC316E5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5ab05-f7f8-4724-b49f-1e8bf2acbb1d"/>
    <ds:schemaRef ds:uri="f2ec8d3c-c12f-424c-926f-1f8ebca51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AA56D6-A55E-4F0F-9397-739BE0C213FA}">
  <ds:schemaRefs>
    <ds:schemaRef ds:uri="Microsoft.SharePoint.Taxonomy.ContentTypeSync"/>
  </ds:schemaRefs>
</ds:datastoreItem>
</file>

<file path=customXml/itemProps3.xml><?xml version="1.0" encoding="utf-8"?>
<ds:datastoreItem xmlns:ds="http://schemas.openxmlformats.org/officeDocument/2006/customXml" ds:itemID="{C727BAA4-FCB4-4A27-B462-8E2D3A5542B9}">
  <ds:schemaRefs>
    <ds:schemaRef ds:uri="http://schemas.microsoft.com/sharepoint/events"/>
  </ds:schemaRefs>
</ds:datastoreItem>
</file>

<file path=customXml/itemProps4.xml><?xml version="1.0" encoding="utf-8"?>
<ds:datastoreItem xmlns:ds="http://schemas.openxmlformats.org/officeDocument/2006/customXml" ds:itemID="{70B31085-BB6C-4F0D-BB30-98215E108D44}">
  <ds:schemaRefs>
    <ds:schemaRef ds:uri="http://schemas.microsoft.com/sharepoint/v3/contenttype/forms"/>
  </ds:schemaRefs>
</ds:datastoreItem>
</file>

<file path=customXml/itemProps5.xml><?xml version="1.0" encoding="utf-8"?>
<ds:datastoreItem xmlns:ds="http://schemas.openxmlformats.org/officeDocument/2006/customXml" ds:itemID="{F4B0AAAE-3B79-48E2-B58E-B6DB51DB9031}">
  <ds:schemaRef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f2ec8d3c-c12f-424c-926f-1f8ebca512fc"/>
    <ds:schemaRef ds:uri="1065ab05-f7f8-4724-b49f-1e8bf2acbb1d"/>
    <ds:schemaRef ds:uri="http://purl.org/dc/dcmitype/"/>
  </ds:schemaRefs>
</ds:datastoreItem>
</file>

<file path=customXml/itemProps6.xml><?xml version="1.0" encoding="utf-8"?>
<ds:datastoreItem xmlns:ds="http://schemas.openxmlformats.org/officeDocument/2006/customXml" ds:itemID="{718847E9-E6DA-40E8-867B-78042B271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1099</Words>
  <Characters>5826</Characters>
  <Application>Microsoft Office Word</Application>
  <DocSecurity>4</DocSecurity>
  <Lines>48</Lines>
  <Paragraphs>13</Paragraphs>
  <ScaleCrop>false</ScaleCrop>
  <HeadingPairs>
    <vt:vector size="2" baseType="variant">
      <vt:variant>
        <vt:lpstr>Tittel</vt:lpstr>
      </vt:variant>
      <vt:variant>
        <vt:i4>1</vt:i4>
      </vt:variant>
    </vt:vector>
  </HeadingPairs>
  <TitlesOfParts>
    <vt:vector size="1" baseType="lpstr">
      <vt:lpstr>(eng) forslag til endringer i byggeforskriften</vt:lpstr>
    </vt:vector>
  </TitlesOfParts>
  <Company>Sjøfartsdirektoratet</Company>
  <LinksUpToDate>false</LinksUpToDate>
  <CharactersWithSpaces>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forslag til endringer i byggeforskriften</dc:title>
  <dc:subject/>
  <dc:creator>Nina Hanssen Åse</dc:creator>
  <cp:keywords/>
  <dc:description/>
  <cp:lastModifiedBy>Nina Hanssen Åse</cp:lastModifiedBy>
  <cp:revision>2</cp:revision>
  <cp:lastPrinted>2018-06-14T11:29:00Z</cp:lastPrinted>
  <dcterms:created xsi:type="dcterms:W3CDTF">2018-07-02T10:46:00Z</dcterms:created>
  <dcterms:modified xsi:type="dcterms:W3CDTF">2018-07-02T10:46:00Z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0x0101008ABC6F4325FBF146B7577C860B30D3600100A540CFBBA13EF742A2FD376D6DEE02CB</vt:lpwstr>
  </property>
  <property fmtid="{D5CDD505-2E9C-101B-9397-08002B2CF9AE}" pid="3" name="_dlc_DocIdItemGuid">
    <vt:lpwstr>f790ec67-42e5-460b-9043-6ab5fefac5f7</vt:lpwstr>
  </property>
  <property fmtid="{D5CDD505-2E9C-101B-9397-08002B2CF9AE}" pid="4" name="Dokumenttype">
    <vt:lpwstr>240;#Arbeidsdokument|22ad557f-b9fa-45ba-8d6f-27dfb38a65f0</vt:lpwstr>
  </property>
  <property fmtid="{D5CDD505-2E9C-101B-9397-08002B2CF9AE}" pid="5" name="Organisasjon">
    <vt:lpwstr>214;#Flyttbare innretninger|3e4f4dac-4115-4781-ad80-c9a468211605</vt:lpwstr>
  </property>
  <property fmtid="{D5CDD505-2E9C-101B-9397-08002B2CF9AE}" pid="6" name="TaxKeyword">
    <vt:lpwstr/>
  </property>
  <property fmtid="{D5CDD505-2E9C-101B-9397-08002B2CF9AE}" pid="7" name="DiciplineArea">
    <vt:lpwstr>75;#Regelverk|2cde9afc-3139-47d7-a23a-7d87f413c98c</vt:lpwstr>
  </property>
  <property fmtid="{D5CDD505-2E9C-101B-9397-08002B2CF9AE}" pid="8" name="kc7c6ce0590d4971ab5f4f25ee8183c6">
    <vt:lpwstr/>
  </property>
  <property fmtid="{D5CDD505-2E9C-101B-9397-08002B2CF9AE}" pid="9" name="nb5bf3e62b764ecab24439f884b94e4d">
    <vt:lpwstr/>
  </property>
  <property fmtid="{D5CDD505-2E9C-101B-9397-08002B2CF9AE}" pid="10" name="Prosess">
    <vt:lpwstr/>
  </property>
  <property fmtid="{D5CDD505-2E9C-101B-9397-08002B2CF9AE}" pid="11" name="Prosjekt">
    <vt:lpwstr/>
  </property>
</Properties>
</file>