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rPr>
          <w:color w:val="000000"/>
        </w:rPr>
      </w:pPr>
      <w:bookmarkStart w:id="0" w:name="_GoBack"/>
      <w:bookmarkEnd w:id="0"/>
    </w:p>
    <w:p w:rsidR="00A77B3E" w:rsidRDefault="00B7276C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77B3E" w:rsidRDefault="00B7276C">
      <w:pPr>
        <w:jc w:val="center"/>
        <w:rPr>
          <w:color w:val="000000"/>
        </w:rPr>
      </w:pPr>
      <w:r>
        <w:rPr>
          <w:noProof/>
          <w:color w:val="00000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88303" cy="241599"/>
            <wp:effectExtent l="0" t="0" r="0" b="0"/>
            <wp:wrapTopAndBottom/>
            <wp:docPr id="100001" name="Bild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8211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303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3E" w:rsidRDefault="00B7276C">
      <w:pPr>
        <w:pStyle w:val="Overskrift1"/>
        <w:jc w:val="center"/>
        <w:rPr>
          <w:color w:val="000000"/>
        </w:rPr>
      </w:pPr>
      <w:bookmarkStart w:id="1" w:name="_Toc256000000"/>
      <w:r>
        <w:rPr>
          <w:color w:val="000000"/>
        </w:rPr>
        <w:t>Forskrift om endring i forskrift om forbud mot betalingsformidling for pengespill som ikke har norsk tillatelse</w:t>
      </w:r>
      <w:bookmarkEnd w:id="1"/>
    </w:p>
    <w:p w:rsidR="009F614C" w:rsidRDefault="009F614C">
      <w:pPr>
        <w:jc w:val="center"/>
        <w:rPr>
          <w:sz w:val="22"/>
        </w:rPr>
      </w:pPr>
    </w:p>
    <w:p w:rsidR="009F614C" w:rsidRDefault="009F614C">
      <w:pPr>
        <w:jc w:val="center"/>
        <w:rPr>
          <w:sz w:val="22"/>
        </w:rPr>
      </w:pPr>
      <w:bookmarkStart w:id="2" w:name="documentMeta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562"/>
      </w:tblGrid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Dato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FOR-2019-05-10-593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Departement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Kulturdepartementet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Avd/dir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Avd. for meider og kunst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Ikrafttredelse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01.01.2020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Endrer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FOR-2010-02-19-184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Gjelder for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Norge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Hjemmel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LOV-1992-08-28-103-§2, LOV-1995-02-24-11-§11, LOV-1927-07-01-3-§3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Kunngjort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13.05.2019   kl. 15.50</w:t>
            </w:r>
          </w:p>
        </w:tc>
      </w:tr>
      <w:tr w:rsidR="009F614C">
        <w:tc>
          <w:tcPr>
            <w:tcW w:w="2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Korttittel</w:t>
            </w:r>
          </w:p>
        </w:tc>
        <w:tc>
          <w:tcPr>
            <w:tcW w:w="6000" w:type="dxa"/>
          </w:tcPr>
          <w:p w:rsidR="009F614C" w:rsidRDefault="00B7276C">
            <w:pPr>
              <w:spacing w:before="100"/>
              <w:rPr>
                <w:sz w:val="22"/>
              </w:rPr>
            </w:pPr>
            <w:r>
              <w:rPr>
                <w:sz w:val="22"/>
              </w:rPr>
              <w:t>Endr. i forskrift om forbud mot spillbetalingsformidling</w:t>
            </w:r>
          </w:p>
        </w:tc>
      </w:tr>
    </w:tbl>
    <w:p w:rsidR="009F614C" w:rsidRDefault="009F614C">
      <w:pPr>
        <w:spacing w:before="100"/>
        <w:jc w:val="center"/>
        <w:rPr>
          <w:sz w:val="22"/>
        </w:rPr>
      </w:pPr>
    </w:p>
    <w:p w:rsidR="009F614C" w:rsidRDefault="00B7276C">
      <w:pPr>
        <w:jc w:val="center"/>
        <w:rPr>
          <w:sz w:val="22"/>
        </w:rPr>
      </w:pPr>
      <w:r>
        <w:pict>
          <v:rect id="_x0000_i1025" style="width:493.3pt;height:2.25pt" o:hralign="center" o:hrstd="t" o:hrnoshade="t" o:hr="t" fillcolor="#cd0c1a" stroked="f">
            <v:path strokeok="f"/>
          </v:rect>
        </w:pict>
      </w:r>
    </w:p>
    <w:p w:rsidR="009F614C" w:rsidRDefault="00B7276C">
      <w:pPr>
        <w:jc w:val="center"/>
        <w:rPr>
          <w:sz w:val="22"/>
        </w:rPr>
      </w:pPr>
      <w:r>
        <w:rPr>
          <w:sz w:val="22"/>
        </w:rPr>
        <w:br w:type="page"/>
      </w:r>
      <w:bookmarkEnd w:id="2"/>
    </w:p>
    <w:p w:rsidR="009F614C" w:rsidRDefault="00B7276C">
      <w:pPr>
        <w:pStyle w:val="Overskrift2"/>
        <w:spacing w:before="0" w:after="0"/>
        <w:jc w:val="center"/>
        <w:rPr>
          <w:sz w:val="22"/>
        </w:rPr>
      </w:pPr>
      <w:bookmarkStart w:id="3" w:name="_Toc256000001"/>
      <w:r>
        <w:rPr>
          <w:sz w:val="22"/>
        </w:rPr>
        <w:lastRenderedPageBreak/>
        <w:t>Innholdsfortegnelse</w:t>
      </w:r>
      <w:bookmarkEnd w:id="3"/>
    </w:p>
    <w:p w:rsidR="009F614C" w:rsidRDefault="00B7276C">
      <w:pPr>
        <w:pStyle w:val="INNH1"/>
        <w:tabs>
          <w:tab w:val="right" w:leader="dot" w:pos="9456"/>
        </w:tabs>
        <w:ind w:right="1000"/>
        <w:rPr>
          <w:rFonts w:ascii="Calibri" w:hAnsi="Calibri"/>
          <w:noProof/>
        </w:rPr>
      </w:pPr>
      <w:r>
        <w:fldChar w:fldCharType="begin"/>
      </w:r>
      <w:r>
        <w:instrText xml:space="preserve">TOC \o "1-9" </w:instrText>
      </w:r>
      <w:r>
        <w:instrText>\z \u \h</w:instrText>
      </w:r>
      <w:r>
        <w:fldChar w:fldCharType="separate"/>
      </w:r>
      <w:hyperlink w:anchor="_Toc256000000" w:history="1">
        <w:r w:rsidR="00A77B3E">
          <w:rPr>
            <w:rStyle w:val="Hyperkobling"/>
          </w:rPr>
          <w:t>Forskrift om endring i forskrift om forbud mot betalingsformidling for pengespill som ikke har norsk tillatelse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9F614C" w:rsidRDefault="00B7276C">
      <w:pPr>
        <w:pStyle w:val="INNH2"/>
        <w:tabs>
          <w:tab w:val="right" w:leader="dot" w:pos="9456"/>
        </w:tabs>
        <w:ind w:right="1000"/>
        <w:rPr>
          <w:rFonts w:ascii="Calibri" w:hAnsi="Calibri"/>
          <w:noProof/>
        </w:rPr>
      </w:pPr>
      <w:hyperlink w:anchor="_Toc256000001" w:history="1">
        <w:r>
          <w:rPr>
            <w:rStyle w:val="Hyperkobling"/>
          </w:rPr>
          <w:t>Innholdsfortegnelse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9F614C" w:rsidRDefault="00B7276C">
      <w:pPr>
        <w:pStyle w:val="INNH2"/>
        <w:tabs>
          <w:tab w:val="right" w:leader="dot" w:pos="9456"/>
        </w:tabs>
        <w:ind w:right="1000"/>
        <w:rPr>
          <w:rFonts w:ascii="Calibri" w:hAnsi="Calibri"/>
          <w:noProof/>
        </w:rPr>
      </w:pPr>
      <w:hyperlink w:anchor="_Toc256000003" w:history="1">
        <w:r>
          <w:rPr>
            <w:rStyle w:val="Hyperkobling"/>
          </w:rPr>
          <w:t>I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9F614C" w:rsidRDefault="00B7276C">
      <w:pPr>
        <w:pStyle w:val="INNH2"/>
        <w:tabs>
          <w:tab w:val="right" w:leader="dot" w:pos="9456"/>
        </w:tabs>
        <w:ind w:right="1000"/>
        <w:rPr>
          <w:rFonts w:ascii="Calibri" w:hAnsi="Calibri"/>
          <w:noProof/>
        </w:rPr>
      </w:pPr>
      <w:hyperlink w:anchor="_Toc256000004" w:history="1">
        <w:r>
          <w:rPr>
            <w:rStyle w:val="Hyperkobling"/>
          </w:rPr>
          <w:t>II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F614C" w:rsidRDefault="00B7276C">
      <w:pPr>
        <w:pStyle w:val="Overskrift2"/>
        <w:spacing w:before="0" w:after="0"/>
        <w:jc w:val="center"/>
        <w:rPr>
          <w:sz w:val="22"/>
        </w:rPr>
      </w:pPr>
      <w:r>
        <w:rPr>
          <w:sz w:val="22"/>
        </w:rPr>
        <w:fldChar w:fldCharType="end"/>
      </w:r>
      <w:r>
        <w:rPr>
          <w:sz w:val="22"/>
        </w:rPr>
        <w:br w:type="page"/>
      </w:r>
    </w:p>
    <w:p w:rsidR="009F614C" w:rsidRDefault="009F614C">
      <w:pPr>
        <w:rPr>
          <w:sz w:val="6"/>
        </w:rPr>
      </w:pPr>
      <w:bookmarkStart w:id="4" w:name="documentBody"/>
    </w:p>
    <w:p w:rsidR="009F614C" w:rsidRDefault="00B7276C">
      <w:pPr>
        <w:rPr>
          <w:b/>
          <w:sz w:val="18"/>
        </w:rPr>
      </w:pPr>
      <w:r>
        <w:rPr>
          <w:b/>
          <w:sz w:val="18"/>
        </w:rPr>
        <w:t>Hjemmel:</w:t>
      </w:r>
      <w:r>
        <w:rPr>
          <w:sz w:val="18"/>
        </w:rPr>
        <w:t xml:space="preserve"> Fastsatt ved kgl.res. 10. mai 2019 med hjemmel i </w:t>
      </w:r>
      <w:hyperlink r:id="rId7" w:anchor="reference/lov/1992-08-28-103" w:history="1">
        <w:r>
          <w:rPr>
            <w:sz w:val="18"/>
          </w:rPr>
          <w:t>lov 28. august 1992 nr. 103</w:t>
        </w:r>
      </w:hyperlink>
      <w:r>
        <w:rPr>
          <w:sz w:val="18"/>
        </w:rPr>
        <w:t xml:space="preserve"> om pengespill m.v. (pengespilloven) </w:t>
      </w:r>
      <w:hyperlink r:id="rId8" w:anchor="reference/lov/1992-08-28-103/§2" w:history="1">
        <w:r>
          <w:rPr>
            <w:sz w:val="18"/>
          </w:rPr>
          <w:t>§ 2</w:t>
        </w:r>
      </w:hyperlink>
      <w:r>
        <w:rPr>
          <w:sz w:val="18"/>
        </w:rPr>
        <w:t xml:space="preserve"> fjerde ledd, </w:t>
      </w:r>
      <w:hyperlink r:id="rId9" w:anchor="reference/lov/1995-02-24-11" w:history="1">
        <w:r>
          <w:rPr>
            <w:sz w:val="18"/>
          </w:rPr>
          <w:t>lov 24. februar 1995 nr. 11</w:t>
        </w:r>
      </w:hyperlink>
      <w:r>
        <w:rPr>
          <w:sz w:val="18"/>
        </w:rPr>
        <w:t xml:space="preserve"> om lotterier m.v. (lotteriloven) </w:t>
      </w:r>
      <w:hyperlink r:id="rId10" w:anchor="reference/lov/1995-02-24-11/§11" w:history="1">
        <w:r>
          <w:rPr>
            <w:sz w:val="18"/>
          </w:rPr>
          <w:t>§ 11</w:t>
        </w:r>
      </w:hyperlink>
      <w:r>
        <w:rPr>
          <w:sz w:val="18"/>
        </w:rPr>
        <w:t xml:space="preserve"> og </w:t>
      </w:r>
      <w:hyperlink r:id="rId11" w:anchor="reference/lov/1927-07-01-3" w:history="1">
        <w:r>
          <w:rPr>
            <w:sz w:val="18"/>
          </w:rPr>
          <w:t>lov 1. juli 1927 n</w:t>
        </w:r>
        <w:r>
          <w:rPr>
            <w:sz w:val="18"/>
          </w:rPr>
          <w:t>r. 3</w:t>
        </w:r>
      </w:hyperlink>
      <w:r>
        <w:rPr>
          <w:sz w:val="18"/>
        </w:rPr>
        <w:t xml:space="preserve"> om veddemål ved totalisator </w:t>
      </w:r>
      <w:hyperlink r:id="rId12" w:anchor="reference/lov/1927-07-01-3/§3" w:history="1">
        <w:r>
          <w:rPr>
            <w:sz w:val="18"/>
          </w:rPr>
          <w:t>§ 3</w:t>
        </w:r>
      </w:hyperlink>
      <w:r>
        <w:rPr>
          <w:sz w:val="18"/>
        </w:rPr>
        <w:t>. Fremmet av Kulturdepartementet.</w:t>
      </w:r>
      <w:r>
        <w:rPr>
          <w:sz w:val="18"/>
        </w:rPr>
        <w:br/>
        <w:t xml:space="preserve">Forskriften er meldt til EFTAs overvåkingsorgan i henhold til kravene i </w:t>
      </w:r>
      <w:hyperlink r:id="rId13" w:anchor="reference/lov/2004-12-17-101" w:history="1">
        <w:r>
          <w:rPr>
            <w:sz w:val="18"/>
          </w:rPr>
          <w:t>lov 17. desember 2004 nr. 101</w:t>
        </w:r>
      </w:hyperlink>
      <w:r>
        <w:rPr>
          <w:sz w:val="18"/>
        </w:rPr>
        <w:t xml:space="preserve"> om europeisk meldeplikt for tekniske regler m.m. (EØS-høringsloven) og EØS-avtalen vedlegg II kap. XIX nr. 1 (direktiv </w:t>
      </w:r>
      <w:hyperlink r:id="rId14" w:anchor="reference/eu/31998l0034" w:history="1">
        <w:r>
          <w:rPr>
            <w:sz w:val="18"/>
          </w:rPr>
          <w:t>98/34/EF</w:t>
        </w:r>
      </w:hyperlink>
      <w:r>
        <w:rPr>
          <w:sz w:val="18"/>
        </w:rPr>
        <w:t xml:space="preserve"> endret ved direktiv </w:t>
      </w:r>
      <w:hyperlink r:id="rId15" w:anchor="reference/eu/31998l0048" w:history="1">
        <w:r>
          <w:rPr>
            <w:sz w:val="18"/>
          </w:rPr>
          <w:t>98/48/EF</w:t>
        </w:r>
      </w:hyperlink>
      <w:r>
        <w:rPr>
          <w:sz w:val="18"/>
        </w:rPr>
        <w:t>).</w:t>
      </w:r>
      <w:bookmarkStart w:id="5" w:name="KAPITTEL_1"/>
    </w:p>
    <w:p w:rsidR="009F614C" w:rsidRDefault="009F614C">
      <w:pPr>
        <w:rPr>
          <w:sz w:val="22"/>
        </w:rPr>
      </w:pPr>
    </w:p>
    <w:p w:rsidR="009F614C" w:rsidRDefault="009F614C">
      <w:pPr>
        <w:rPr>
          <w:sz w:val="22"/>
        </w:rPr>
      </w:pPr>
    </w:p>
    <w:p w:rsidR="009F614C" w:rsidRDefault="00B7276C">
      <w:pPr>
        <w:pStyle w:val="Overskrift2"/>
        <w:spacing w:before="0" w:after="0"/>
        <w:jc w:val="center"/>
      </w:pPr>
      <w:bookmarkStart w:id="6" w:name="_Toc256000003"/>
      <w:r>
        <w:t>I</w:t>
      </w:r>
      <w:bookmarkEnd w:id="6"/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16" w:anchor="reference/forskrift/2010-02-19-184" w:history="1">
        <w:r>
          <w:rPr>
            <w:sz w:val="22"/>
          </w:rPr>
          <w:t>forskrift 19. febru</w:t>
        </w:r>
        <w:r>
          <w:rPr>
            <w:sz w:val="22"/>
          </w:rPr>
          <w:t>ar 2010 nr. 184</w:t>
        </w:r>
      </w:hyperlink>
      <w:r>
        <w:rPr>
          <w:sz w:val="22"/>
        </w:rPr>
        <w:t xml:space="preserve"> om forbud mot betalingsformidling for pengespill som ikke har norsk tillatelse gjøres følgende endringer:</w:t>
      </w:r>
    </w:p>
    <w:p w:rsidR="009F614C" w:rsidRDefault="009F614C">
      <w:pPr>
        <w:spacing w:before="120"/>
        <w:ind w:firstLine="180"/>
        <w:rPr>
          <w:sz w:val="6"/>
        </w:rPr>
      </w:pPr>
    </w:p>
    <w:p w:rsidR="009F614C" w:rsidRDefault="00B7276C">
      <w:pPr>
        <w:rPr>
          <w:sz w:val="22"/>
        </w:rPr>
      </w:pPr>
      <w:r>
        <w:rPr>
          <w:sz w:val="22"/>
        </w:rPr>
        <w:t>§ 3 skal lyde:</w:t>
      </w:r>
    </w:p>
    <w:p w:rsidR="009F614C" w:rsidRDefault="009F614C">
      <w:pPr>
        <w:rPr>
          <w:sz w:val="22"/>
        </w:rPr>
      </w:pPr>
    </w:p>
    <w:p w:rsidR="009F614C" w:rsidRDefault="00B7276C">
      <w:pPr>
        <w:rPr>
          <w:sz w:val="22"/>
        </w:rPr>
      </w:pPr>
      <w:r>
        <w:rPr>
          <w:sz w:val="22"/>
        </w:rPr>
        <w:t xml:space="preserve">§ 3. </w:t>
      </w:r>
      <w:r>
        <w:rPr>
          <w:i/>
          <w:sz w:val="22"/>
        </w:rPr>
        <w:t>Anvendelsesområde</w:t>
      </w: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>Forskriften gjelder foretak som yter betalingstjenester i Norge.</w:t>
      </w:r>
    </w:p>
    <w:p w:rsidR="009F614C" w:rsidRDefault="009F614C">
      <w:pPr>
        <w:spacing w:before="120"/>
        <w:ind w:firstLine="180"/>
        <w:rPr>
          <w:sz w:val="6"/>
        </w:rPr>
      </w:pPr>
    </w:p>
    <w:p w:rsidR="009F614C" w:rsidRDefault="00B7276C">
      <w:pPr>
        <w:rPr>
          <w:sz w:val="22"/>
        </w:rPr>
      </w:pPr>
      <w:r>
        <w:rPr>
          <w:sz w:val="22"/>
        </w:rPr>
        <w:t>§ 4 skal lyde:</w:t>
      </w:r>
    </w:p>
    <w:p w:rsidR="009F614C" w:rsidRDefault="009F614C">
      <w:pPr>
        <w:rPr>
          <w:sz w:val="22"/>
        </w:rPr>
      </w:pPr>
    </w:p>
    <w:p w:rsidR="009F614C" w:rsidRDefault="00B7276C">
      <w:pPr>
        <w:rPr>
          <w:sz w:val="22"/>
        </w:rPr>
      </w:pPr>
      <w:r>
        <w:rPr>
          <w:sz w:val="22"/>
        </w:rPr>
        <w:t xml:space="preserve">§ 4. </w:t>
      </w:r>
      <w:r>
        <w:rPr>
          <w:i/>
          <w:sz w:val="22"/>
        </w:rPr>
        <w:t xml:space="preserve">Forbud </w:t>
      </w:r>
      <w:r>
        <w:rPr>
          <w:i/>
          <w:sz w:val="22"/>
        </w:rPr>
        <w:t>mot betalingsformidling</w:t>
      </w: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>Det er forbudt for foretak som yter betalingstjenester i Norge å yte betalingstjenester ved innskudd til, og utbetaling fra pengespill som ikke har tillatelse i Norge.</w:t>
      </w: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>Forbudet gjelder både betalingstransaksjoner til og fra pengespi</w:t>
      </w:r>
      <w:r>
        <w:rPr>
          <w:sz w:val="22"/>
        </w:rPr>
        <w:t>llselskap som ikke har tillatelse i Norge og betalingstransaksjoner til og fra andre foretak som formidler betalingstransaksjoner på vegne av pengespillselskap som ikke har tillatelse i Norge.</w:t>
      </w: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>Foretak som yter betalingstjenester i Norge skal undersøke alle</w:t>
      </w:r>
      <w:r>
        <w:rPr>
          <w:sz w:val="22"/>
        </w:rPr>
        <w:t xml:space="preserve"> betalingstransaksjoner til og fra pengespillselskap og foretak som gjennomfører betalingstransaksjoner på vegne av pengespillselskap som Lotteritilsynet har sendt vedtak om at formidler pengespill uten tillatelse i Norge i medhold av denne forskrift </w:t>
      </w:r>
      <w:hyperlink r:id="rId17" w:anchor="reference/forskrift/2010-02-19-184/§4" w:history="1">
        <w:r>
          <w:rPr>
            <w:sz w:val="22"/>
          </w:rPr>
          <w:t>§ 4</w:t>
        </w:r>
      </w:hyperlink>
      <w:r>
        <w:rPr>
          <w:sz w:val="22"/>
        </w:rPr>
        <w:t xml:space="preserve"> fjerde ledd. Lotteritilsynet skal ha oppdatert liste på sitt nettsted. Foretakene skal stanse betalingstransaksjoner ved innskudd til og utbetaling fra pengespill som ikke </w:t>
      </w:r>
      <w:r>
        <w:rPr>
          <w:sz w:val="22"/>
        </w:rPr>
        <w:t>har tillatelse i Norge, herunder betalingstransaksjoner med betalingskort med brukerstedskode for pengespill.</w:t>
      </w: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 xml:space="preserve">Lotteritilsynet kan ved enkeltvedtak gi pålegg til foretak som yter betalingstjenester ved innskudd til og utbetaling fra pengespill som ikke har </w:t>
      </w:r>
      <w:r>
        <w:rPr>
          <w:sz w:val="22"/>
        </w:rPr>
        <w:t>tillatelse i Norge, om å avvise betalingstransaksjoner identifisert med: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9F614C">
        <w:tc>
          <w:tcPr>
            <w:tcW w:w="360" w:type="dxa"/>
            <w:noWrap/>
            <w:tcMar>
              <w:right w:w="80" w:type="dxa"/>
            </w:tcMar>
          </w:tcPr>
          <w:p w:rsidR="009F614C" w:rsidRDefault="00B7276C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9F614C" w:rsidRDefault="00B7276C">
            <w:pPr>
              <w:rPr>
                <w:sz w:val="22"/>
              </w:rPr>
            </w:pPr>
            <w:r>
              <w:rPr>
                <w:sz w:val="22"/>
              </w:rPr>
              <w:t>Kontonummer til pengespillselskap som gjennomfører betalingstransaksjoner eller andre foretak som gjennomfører betalingstransaksjoner på vegne av pengespillselskapet, eller</w:t>
            </w:r>
          </w:p>
        </w:tc>
      </w:tr>
    </w:tbl>
    <w:p w:rsidR="009F614C" w:rsidRDefault="009F614C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9F614C">
        <w:tc>
          <w:tcPr>
            <w:tcW w:w="360" w:type="dxa"/>
            <w:noWrap/>
            <w:tcMar>
              <w:right w:w="80" w:type="dxa"/>
            </w:tcMar>
          </w:tcPr>
          <w:p w:rsidR="009F614C" w:rsidRDefault="00B7276C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9F614C" w:rsidRDefault="00B7276C">
            <w:pPr>
              <w:rPr>
                <w:sz w:val="22"/>
              </w:rPr>
            </w:pPr>
            <w:r>
              <w:rPr>
                <w:sz w:val="22"/>
              </w:rPr>
              <w:t>Navn på pengespillselskap som gjennomfører betalingstransaksjoner eller andre foretak som gjennomfører betalingstransaksjoner på vegne av pengespillselskapet.</w:t>
            </w:r>
          </w:p>
        </w:tc>
      </w:tr>
    </w:tbl>
    <w:p w:rsidR="009F614C" w:rsidRDefault="009F614C">
      <w:pPr>
        <w:rPr>
          <w:sz w:val="6"/>
        </w:rPr>
      </w:pP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>Lotteritilsynet kan ved enkeltvedtak gi pålegg etter fjerde ledd nr. 2 når: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9F614C">
        <w:tc>
          <w:tcPr>
            <w:tcW w:w="360" w:type="dxa"/>
            <w:noWrap/>
            <w:tcMar>
              <w:right w:w="80" w:type="dxa"/>
            </w:tcMar>
          </w:tcPr>
          <w:p w:rsidR="009F614C" w:rsidRDefault="00B7276C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9F614C" w:rsidRDefault="00B7276C">
            <w:pPr>
              <w:rPr>
                <w:sz w:val="22"/>
              </w:rPr>
            </w:pPr>
            <w:r>
              <w:rPr>
                <w:sz w:val="22"/>
              </w:rPr>
              <w:t xml:space="preserve">Lotteritilsynet </w:t>
            </w:r>
            <w:r>
              <w:rPr>
                <w:sz w:val="22"/>
              </w:rPr>
              <w:t>har fattet vedtak om å avvise betalingstransaksjoner identifisert med kontonummer, og det samme foretaket som eier kontonummeret sender betalingstransaksjoner ved innskudd til og utbetaling fra pengespill fra andre kontonummer enn beskrevet i vedtaket, ell</w:t>
            </w:r>
            <w:r>
              <w:rPr>
                <w:sz w:val="22"/>
              </w:rPr>
              <w:t>er</w:t>
            </w:r>
          </w:p>
        </w:tc>
      </w:tr>
    </w:tbl>
    <w:p w:rsidR="009F614C" w:rsidRDefault="009F614C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9F614C">
        <w:tc>
          <w:tcPr>
            <w:tcW w:w="360" w:type="dxa"/>
            <w:noWrap/>
            <w:tcMar>
              <w:right w:w="80" w:type="dxa"/>
            </w:tcMar>
          </w:tcPr>
          <w:p w:rsidR="009F614C" w:rsidRDefault="00B7276C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9F614C" w:rsidRDefault="00B7276C">
            <w:pPr>
              <w:rPr>
                <w:sz w:val="22"/>
              </w:rPr>
            </w:pPr>
            <w:r>
              <w:rPr>
                <w:sz w:val="22"/>
              </w:rPr>
              <w:t>Foretaket bruker annen brukerstedskode enn pengespill for betalingstransaksjoner med betalingskort, men gjennomfører likevel betalingstransaksjoner ved innskudd til og utbetaling fra pengespill.</w:t>
            </w:r>
          </w:p>
        </w:tc>
      </w:tr>
    </w:tbl>
    <w:p w:rsidR="009F614C" w:rsidRDefault="009F614C">
      <w:pPr>
        <w:rPr>
          <w:sz w:val="6"/>
        </w:rPr>
      </w:pP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 xml:space="preserve">Lotteritilsynet er ansvarlig for entydig </w:t>
      </w:r>
      <w:r>
        <w:rPr>
          <w:sz w:val="22"/>
        </w:rPr>
        <w:t>identifisering av foretakene i fjerde ledd.</w:t>
      </w:r>
    </w:p>
    <w:p w:rsidR="009F614C" w:rsidRDefault="009F614C">
      <w:pPr>
        <w:spacing w:before="120"/>
        <w:ind w:firstLine="180"/>
        <w:rPr>
          <w:sz w:val="6"/>
        </w:rPr>
      </w:pPr>
    </w:p>
    <w:p w:rsidR="009F614C" w:rsidRDefault="00B7276C">
      <w:pPr>
        <w:rPr>
          <w:sz w:val="22"/>
        </w:rPr>
      </w:pPr>
      <w:r>
        <w:rPr>
          <w:sz w:val="22"/>
        </w:rPr>
        <w:t>Ny § 5 skal lyde:</w:t>
      </w:r>
    </w:p>
    <w:p w:rsidR="009F614C" w:rsidRDefault="009F614C">
      <w:pPr>
        <w:rPr>
          <w:sz w:val="22"/>
        </w:rPr>
      </w:pPr>
    </w:p>
    <w:p w:rsidR="009F614C" w:rsidRDefault="00B7276C">
      <w:pPr>
        <w:rPr>
          <w:sz w:val="22"/>
        </w:rPr>
      </w:pPr>
      <w:r>
        <w:rPr>
          <w:sz w:val="22"/>
        </w:rPr>
        <w:t xml:space="preserve">§ 5. </w:t>
      </w:r>
      <w:r>
        <w:rPr>
          <w:i/>
          <w:sz w:val="22"/>
        </w:rPr>
        <w:t>Opplysningsplikt etter forespørsel fra Lotteritilsynet</w:t>
      </w:r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>Lotteritilsynet kan kreve at foretak som yter betalingstjenester i Norge skal gi opplysninger om pengespillselskap og foretak som gj</w:t>
      </w:r>
      <w:r>
        <w:rPr>
          <w:sz w:val="22"/>
        </w:rPr>
        <w:t>ennomfører betalingstransaksjoner på vegne av pengespillselskap. Opplysningsplikten gjelder når Lotteritilsynet har sendt en konkret forespørsel på fastsatt skjema som inkluderer identifiserte foretak. Opplysningsplikten omfatter opplysninger om kontonumme</w:t>
      </w:r>
      <w:r>
        <w:rPr>
          <w:sz w:val="22"/>
        </w:rPr>
        <w:t xml:space="preserve">r, brukerstedskode, </w:t>
      </w:r>
      <w:r>
        <w:rPr>
          <w:sz w:val="22"/>
        </w:rPr>
        <w:lastRenderedPageBreak/>
        <w:t>Merchant ID, Acquirer ID, organisasjonsnummer, transaksjonsvolum og tidsperiode for transaksjonene. Lotteritilsynet kan ikke kreve personopplysninger knyttet til enkelttransaksjoner.</w:t>
      </w:r>
    </w:p>
    <w:p w:rsidR="009F614C" w:rsidRDefault="009F614C">
      <w:pPr>
        <w:spacing w:before="120"/>
        <w:ind w:firstLine="180"/>
        <w:rPr>
          <w:sz w:val="6"/>
        </w:rPr>
      </w:pPr>
    </w:p>
    <w:p w:rsidR="009F614C" w:rsidRDefault="00B7276C">
      <w:pPr>
        <w:rPr>
          <w:sz w:val="22"/>
        </w:rPr>
      </w:pPr>
      <w:r>
        <w:rPr>
          <w:sz w:val="22"/>
        </w:rPr>
        <w:t>Nåværende § 5 blir ny § 6.</w:t>
      </w:r>
      <w:bookmarkStart w:id="7" w:name="KAPITTEL_2"/>
      <w:bookmarkEnd w:id="5"/>
    </w:p>
    <w:p w:rsidR="009F614C" w:rsidRDefault="009F614C">
      <w:pPr>
        <w:rPr>
          <w:sz w:val="22"/>
        </w:rPr>
      </w:pPr>
    </w:p>
    <w:p w:rsidR="009F614C" w:rsidRDefault="009F614C">
      <w:pPr>
        <w:rPr>
          <w:sz w:val="22"/>
        </w:rPr>
      </w:pPr>
    </w:p>
    <w:p w:rsidR="009F614C" w:rsidRDefault="00B7276C">
      <w:pPr>
        <w:pStyle w:val="Overskrift2"/>
        <w:spacing w:before="0" w:after="0"/>
        <w:jc w:val="center"/>
      </w:pPr>
      <w:bookmarkStart w:id="8" w:name="_Toc256000004"/>
      <w:r>
        <w:t>II</w:t>
      </w:r>
      <w:bookmarkEnd w:id="8"/>
    </w:p>
    <w:p w:rsidR="009F614C" w:rsidRDefault="00B7276C">
      <w:pPr>
        <w:spacing w:before="120"/>
        <w:ind w:firstLine="180"/>
        <w:rPr>
          <w:sz w:val="22"/>
        </w:rPr>
      </w:pPr>
      <w:r>
        <w:rPr>
          <w:sz w:val="22"/>
        </w:rPr>
        <w:t xml:space="preserve">Forskriften trer i </w:t>
      </w:r>
      <w:r>
        <w:rPr>
          <w:sz w:val="22"/>
        </w:rPr>
        <w:t>kraft 1. januar 2020.</w:t>
      </w:r>
      <w:bookmarkEnd w:id="7"/>
      <w:bookmarkEnd w:id="4"/>
    </w:p>
    <w:sectPr w:rsidR="009F614C">
      <w:headerReference w:type="default" r:id="rId18"/>
      <w:footerReference w:type="default" r:id="rId19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276C">
      <w:r>
        <w:separator/>
      </w:r>
    </w:p>
  </w:endnote>
  <w:endnote w:type="continuationSeparator" w:id="0">
    <w:p w:rsidR="00000000" w:rsidRDefault="00B7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4C" w:rsidRDefault="00B7276C">
    <w:pPr>
      <w:jc w:val="center"/>
      <w:rPr>
        <w:sz w:val="22"/>
      </w:rPr>
    </w:pPr>
    <w:r>
      <w:rPr>
        <w:sz w:val="22"/>
      </w:rPr>
      <w:t xml:space="preserve"> </w:t>
    </w:r>
  </w:p>
  <w:p w:rsidR="009F614C" w:rsidRDefault="00B7276C">
    <w:pPr>
      <w:jc w:val="center"/>
      <w:rPr>
        <w:sz w:val="22"/>
      </w:rPr>
    </w:pPr>
    <w:r>
      <w:rPr>
        <w:sz w:val="22"/>
      </w:rPr>
      <w:t>Forskrift om endring i forskrift om forbud mot betalingsformidling for pengespill som ikke har norsk tillatelse</w:t>
    </w:r>
  </w:p>
  <w:p w:rsidR="009F614C" w:rsidRDefault="00B7276C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276C">
      <w:r>
        <w:separator/>
      </w:r>
    </w:p>
  </w:footnote>
  <w:footnote w:type="continuationSeparator" w:id="0">
    <w:p w:rsidR="00000000" w:rsidRDefault="00B7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4C" w:rsidRDefault="00B7276C">
    <w:pPr>
      <w:jc w:val="right"/>
      <w:rPr>
        <w:sz w:val="22"/>
      </w:rPr>
    </w:pPr>
    <w:r>
      <w:rPr>
        <w:sz w:val="22"/>
      </w:rPr>
      <w:t>Utskrift fra Lovdata - 14.08.2019 09:51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F614C"/>
    <w:rsid w:val="00A77B3E"/>
    <w:rsid w:val="00B7276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97EB1BD-9200-4426-B7FF-94E30427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  <w:style w:type="character" w:styleId="Hyperkobling">
    <w:name w:val="Hyperlink"/>
    <w:basedOn w:val="Standardskriftforavsnitt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pro" TargetMode="External"/><Relationship Id="rId13" Type="http://schemas.openxmlformats.org/officeDocument/2006/relationships/hyperlink" Target="http://www.lovdata.no/pro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ovdata.no/pro" TargetMode="External"/><Relationship Id="rId12" Type="http://schemas.openxmlformats.org/officeDocument/2006/relationships/hyperlink" Target="http://www.lovdata.no/pro" TargetMode="External"/><Relationship Id="rId17" Type="http://schemas.openxmlformats.org/officeDocument/2006/relationships/hyperlink" Target="http://www.lovdata.no/p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ovdata.no/pr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data.no/pr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vdata.no/pro" TargetMode="External"/><Relationship Id="rId10" Type="http://schemas.openxmlformats.org/officeDocument/2006/relationships/hyperlink" Target="http://www.lovdata.no/pr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ovdata.no/pro" TargetMode="External"/><Relationship Id="rId14" Type="http://schemas.openxmlformats.org/officeDocument/2006/relationships/hyperlink" Target="http://www.lovdata.no/pr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Forskrift om endring i forskrift om forbud mot betalingsformidling for pengespill som ikke har norsk tillatelse</vt:lpstr>
      <vt:lpstr/>
    </vt:vector>
  </TitlesOfParts>
  <Company>Stiftelsen Lovdata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endring i forskrift om forbud mot betalingsformidling for pengespill som ikke har norsk tillatelse</dc:title>
  <dc:subject>Forskrift om endring i forskrift om forbud mot betalingsformidling for pengespill som ikke har norsk tillatelse</dc:subject>
  <dc:creator>Stiftelsen Lovdata</dc:creator>
  <cp:lastModifiedBy>Løvseth Hanne Lene</cp:lastModifiedBy>
  <cp:revision>2</cp:revision>
  <dcterms:created xsi:type="dcterms:W3CDTF">2019-08-14T07:52:00Z</dcterms:created>
  <dcterms:modified xsi:type="dcterms:W3CDTF">2019-08-14T07:52:00Z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33674</vt:i4>
  </property>
</Properties>
</file>