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F9" w:rsidRPr="00D50BF9" w:rsidRDefault="00D50BF9" w:rsidP="00D50BF9">
      <w:pPr>
        <w:spacing w:before="315" w:after="158" w:line="390" w:lineRule="atLeast"/>
        <w:outlineLvl w:val="1"/>
        <w:rPr>
          <w:rFonts w:cstheme="minorHAnsi"/>
          <w:color w:val="333333"/>
          <w:kern w:val="36"/>
          <w:sz w:val="28"/>
          <w:szCs w:val="28"/>
          <w:lang w:eastAsia="nb-NO"/>
        </w:rPr>
      </w:pPr>
      <w:bookmarkStart w:id="0" w:name="_Toc256000003"/>
      <w:r w:rsidRPr="00D50BF9">
        <w:rPr>
          <w:rFonts w:cstheme="minorHAnsi"/>
          <w:color w:val="333333"/>
          <w:kern w:val="36"/>
          <w:sz w:val="28"/>
          <w:szCs w:val="28"/>
          <w:lang w:eastAsia="nb-NO"/>
        </w:rPr>
        <w:t xml:space="preserve">Forskrift om krav </w:t>
      </w:r>
      <w:r>
        <w:rPr>
          <w:rFonts w:cstheme="minorHAnsi"/>
          <w:color w:val="333333"/>
          <w:kern w:val="36"/>
          <w:sz w:val="28"/>
          <w:szCs w:val="28"/>
          <w:lang w:eastAsia="nb-NO"/>
        </w:rPr>
        <w:t xml:space="preserve">til </w:t>
      </w:r>
      <w:r w:rsidRPr="00D50BF9">
        <w:rPr>
          <w:rFonts w:cstheme="minorHAnsi"/>
          <w:color w:val="333333"/>
          <w:kern w:val="36"/>
          <w:sz w:val="28"/>
          <w:szCs w:val="28"/>
          <w:lang w:eastAsia="nb-NO"/>
        </w:rPr>
        <w:t>instrumenter for automatisk veiing av enkeltmengder</w:t>
      </w:r>
    </w:p>
    <w:p w:rsidR="00D50BF9" w:rsidRDefault="00D50BF9" w:rsidP="00D50BF9">
      <w:pPr>
        <w:spacing w:before="315" w:after="158" w:line="390" w:lineRule="atLeast"/>
        <w:outlineLvl w:val="1"/>
        <w:rPr>
          <w:rFonts w:cstheme="minorHAnsi"/>
          <w:color w:val="333333"/>
        </w:rPr>
      </w:pPr>
      <w:r>
        <w:rPr>
          <w:rFonts w:cstheme="minorHAnsi"/>
          <w:sz w:val="20"/>
          <w:szCs w:val="20"/>
        </w:rPr>
        <w:t xml:space="preserve">Fastsatt </w:t>
      </w:r>
      <w:r>
        <w:rPr>
          <w:rFonts w:cstheme="minorHAnsi"/>
        </w:rPr>
        <w:t xml:space="preserve">av </w:t>
      </w:r>
      <w:proofErr w:type="spellStart"/>
      <w:r>
        <w:rPr>
          <w:rFonts w:cstheme="minorHAnsi"/>
        </w:rPr>
        <w:t>Justervesenet</w:t>
      </w:r>
      <w:proofErr w:type="spellEnd"/>
      <w:r>
        <w:rPr>
          <w:rFonts w:cstheme="minorHAnsi"/>
        </w:rPr>
        <w:t xml:space="preserve"> 21. desember 2007 med hjemmel i lov 26. januar 2007 nr. 4 om målenheter, måling og normaltid §</w:t>
      </w:r>
      <w:r>
        <w:rPr>
          <w:rFonts w:cstheme="minorHAnsi"/>
          <w:color w:val="333333"/>
        </w:rPr>
        <w:t xml:space="preserve"> 35, jf. § 7 og § 10, og § 8, § 19, § 20 og § 30 og forskrift 21. desember 2007 nr. 1723 om målenheter og måling § 3-3, § 3-6, § 5-2 annet ledd.</w:t>
      </w:r>
    </w:p>
    <w:p w:rsidR="00D50BF9" w:rsidRDefault="00D50BF9" w:rsidP="00D50BF9">
      <w:pPr>
        <w:pStyle w:val="Overskrift2"/>
        <w:spacing w:before="0" w:after="0"/>
        <w:rPr>
          <w:rFonts w:asciiTheme="minorHAnsi" w:hAnsiTheme="minorHAnsi" w:cstheme="minorHAnsi"/>
          <w:sz w:val="22"/>
          <w:szCs w:val="22"/>
        </w:rPr>
      </w:pPr>
    </w:p>
    <w:p w:rsidR="00D50BF9" w:rsidRDefault="00D50BF9" w:rsidP="00205E5E">
      <w:pPr>
        <w:pStyle w:val="Overskrift2"/>
        <w:spacing w:before="0" w:after="0"/>
      </w:pPr>
    </w:p>
    <w:p w:rsidR="00D50BF9" w:rsidRDefault="00D50BF9" w:rsidP="00205E5E">
      <w:pPr>
        <w:pStyle w:val="Overskrift2"/>
        <w:spacing w:before="0" w:after="0"/>
      </w:pPr>
    </w:p>
    <w:p w:rsidR="00205E5E" w:rsidRDefault="00205E5E" w:rsidP="00205E5E">
      <w:pPr>
        <w:pStyle w:val="Overskrift2"/>
        <w:spacing w:before="0" w:after="0"/>
      </w:pPr>
      <w:r>
        <w:t>Kapittel 1 – Innledende bestemmelser</w:t>
      </w:r>
      <w:bookmarkStart w:id="1" w:name="PARAGRAF_1"/>
      <w:bookmarkEnd w:id="0"/>
    </w:p>
    <w:p w:rsidR="00205E5E" w:rsidRDefault="00205E5E" w:rsidP="00205E5E"/>
    <w:p w:rsidR="00205E5E" w:rsidRDefault="00205E5E" w:rsidP="00205E5E">
      <w:pPr>
        <w:rPr>
          <w:b/>
        </w:rPr>
      </w:pPr>
      <w:bookmarkStart w:id="2" w:name="§1"/>
      <w:bookmarkEnd w:id="2"/>
      <w:r>
        <w:rPr>
          <w:b/>
        </w:rPr>
        <w:t>§ 1.</w:t>
      </w:r>
      <w:r>
        <w:t xml:space="preserve"> </w:t>
      </w:r>
      <w:r>
        <w:rPr>
          <w:b/>
          <w:i/>
        </w:rPr>
        <w:t>Virkeområde</w:t>
      </w:r>
    </w:p>
    <w:p w:rsidR="00205E5E" w:rsidRDefault="00205E5E" w:rsidP="00205E5E">
      <w:pPr>
        <w:spacing w:before="120"/>
        <w:ind w:firstLine="180"/>
      </w:pPr>
      <w:proofErr w:type="spellStart"/>
      <w:r>
        <w:t>Forskriften</w:t>
      </w:r>
      <w:proofErr w:type="spellEnd"/>
      <w:r>
        <w:t xml:space="preserve"> fastsetter hvilke krav som gjelder for instrumenter for automatisk veiing av enkeltmengder, heretter kalt «catchvekter», jf. forskrift </w:t>
      </w:r>
      <w:hyperlink r:id="rId4" w:anchor="reference/forskrift/2007-12-20-1723" w:history="1">
        <w:r>
          <w:t>20. desember 2007 nr. 1723</w:t>
        </w:r>
      </w:hyperlink>
      <w:r>
        <w:t xml:space="preserve"> om målenheter og måling </w:t>
      </w:r>
      <w:hyperlink r:id="rId5" w:anchor="reference/forskrift/2007-12-20-1723/kap3" w:history="1">
        <w:r>
          <w:t>kapittel 3</w:t>
        </w:r>
      </w:hyperlink>
      <w:r>
        <w:t xml:space="preserve"> og utfyllende regler om kontroll og godkjenning under bruk.</w:t>
      </w:r>
    </w:p>
    <w:p w:rsidR="00205E5E" w:rsidRDefault="00205E5E" w:rsidP="00205E5E">
      <w:pPr>
        <w:spacing w:before="120"/>
        <w:ind w:firstLine="180"/>
      </w:pPr>
      <w:r>
        <w:t xml:space="preserve">Kravene i </w:t>
      </w:r>
      <w:proofErr w:type="spellStart"/>
      <w:r>
        <w:t>forskriften</w:t>
      </w:r>
      <w:proofErr w:type="spellEnd"/>
      <w:r>
        <w:t xml:space="preserve"> her gjelder når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a</w:t>
            </w:r>
            <w:proofErr w:type="gramEnd"/>
            <w:r>
              <w:t>)</w:t>
            </w:r>
          </w:p>
        </w:tc>
        <w:tc>
          <w:tcPr>
            <w:tcW w:w="9506" w:type="dxa"/>
            <w:noWrap/>
            <w:tcMar>
              <w:right w:w="80" w:type="dxa"/>
            </w:tcMar>
          </w:tcPr>
          <w:p w:rsidR="00205E5E" w:rsidRDefault="00205E5E" w:rsidP="00736021">
            <w:proofErr w:type="gramStart"/>
            <w:r>
              <w:t>slike</w:t>
            </w:r>
            <w:proofErr w:type="gramEnd"/>
            <w:r>
              <w:t xml:space="preserve"> vekter selges eller tilbys for salg, jf. forskrift om målenheter og måling § 3-1 og når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b</w:t>
            </w:r>
            <w:proofErr w:type="gramEnd"/>
            <w:r>
              <w:t>)</w:t>
            </w:r>
          </w:p>
        </w:tc>
        <w:tc>
          <w:tcPr>
            <w:tcW w:w="9506" w:type="dxa"/>
            <w:noWrap/>
            <w:tcMar>
              <w:right w:w="80" w:type="dxa"/>
            </w:tcMar>
          </w:tcPr>
          <w:p w:rsidR="00205E5E" w:rsidRDefault="00205E5E" w:rsidP="00736021">
            <w:proofErr w:type="gramStart"/>
            <w:r>
              <w:t>slike</w:t>
            </w:r>
            <w:proofErr w:type="gramEnd"/>
            <w:r>
              <w:t xml:space="preserve"> vekter benyttes som grunnlag for beregning av økonomisk oppgjør, jf. forskrift om målenheter og måling § 3-4.</w:t>
            </w:r>
          </w:p>
        </w:tc>
      </w:tr>
    </w:tbl>
    <w:p w:rsidR="00205E5E" w:rsidRDefault="00205E5E" w:rsidP="00205E5E">
      <w:pPr>
        <w:rPr>
          <w:sz w:val="6"/>
        </w:rPr>
      </w:pPr>
    </w:p>
    <w:p w:rsidR="00205E5E" w:rsidRDefault="00205E5E" w:rsidP="00205E5E">
      <w:pPr>
        <w:spacing w:before="120"/>
        <w:ind w:firstLine="180"/>
      </w:pPr>
      <w:proofErr w:type="spellStart"/>
      <w:r>
        <w:t>Forskriften</w:t>
      </w:r>
      <w:proofErr w:type="spellEnd"/>
      <w:r>
        <w:t xml:space="preserve"> her setter ikke krav til elektromagnetisk utstråling. Dette reguleres av </w:t>
      </w:r>
      <w:hyperlink r:id="rId6" w:anchor="reference/forskrift/2017-10-10-1598" w:history="1">
        <w:r>
          <w:t>forskrift 10. oktober 2017 nr. 1598</w:t>
        </w:r>
      </w:hyperlink>
      <w:r>
        <w:t xml:space="preserve"> om elektrisk utstyr.</w:t>
      </w:r>
    </w:p>
    <w:p w:rsidR="00205E5E" w:rsidRDefault="00205E5E" w:rsidP="00205E5E">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205E5E" w:rsidTr="00736021">
        <w:tc>
          <w:tcPr>
            <w:tcW w:w="0" w:type="dxa"/>
            <w:noWrap/>
            <w:tcMar>
              <w:right w:w="80" w:type="dxa"/>
            </w:tcMar>
          </w:tcPr>
          <w:p w:rsidR="00205E5E" w:rsidRDefault="00205E5E" w:rsidP="00736021">
            <w:pPr>
              <w:pStyle w:val="Fotnotetekst"/>
              <w:spacing w:before="2" w:after="2"/>
              <w:jc w:val="right"/>
              <w:rPr>
                <w:sz w:val="18"/>
              </w:rPr>
            </w:pPr>
            <w:r>
              <w:rPr>
                <w:sz w:val="18"/>
              </w:rPr>
              <w:t>0</w:t>
            </w:r>
          </w:p>
        </w:tc>
        <w:tc>
          <w:tcPr>
            <w:tcW w:w="9866" w:type="dxa"/>
            <w:noWrap/>
            <w:tcMar>
              <w:right w:w="80" w:type="dxa"/>
            </w:tcMar>
          </w:tcPr>
          <w:p w:rsidR="00205E5E" w:rsidRDefault="00205E5E" w:rsidP="00736021">
            <w:pPr>
              <w:pStyle w:val="Fotnotetekst"/>
              <w:spacing w:before="2" w:after="2"/>
              <w:rPr>
                <w:sz w:val="18"/>
              </w:rPr>
            </w:pPr>
            <w:r>
              <w:rPr>
                <w:sz w:val="18"/>
              </w:rPr>
              <w:t xml:space="preserve">Endret ved </w:t>
            </w:r>
            <w:hyperlink r:id="rId7" w:anchor="reference/forskrift/2017-10-23-1682" w:history="1">
              <w:r>
                <w:rPr>
                  <w:sz w:val="18"/>
                </w:rPr>
                <w:t xml:space="preserve">forskrift 23 </w:t>
              </w:r>
              <w:proofErr w:type="spellStart"/>
              <w:r>
                <w:rPr>
                  <w:sz w:val="18"/>
                </w:rPr>
                <w:t>okt</w:t>
              </w:r>
              <w:proofErr w:type="spellEnd"/>
              <w:r>
                <w:rPr>
                  <w:sz w:val="18"/>
                </w:rPr>
                <w:t xml:space="preserve"> 2017 nr. 1682</w:t>
              </w:r>
            </w:hyperlink>
            <w:r>
              <w:rPr>
                <w:sz w:val="18"/>
              </w:rPr>
              <w:t>.</w:t>
            </w:r>
          </w:p>
        </w:tc>
      </w:tr>
      <w:bookmarkEnd w:id="1"/>
    </w:tbl>
    <w:p w:rsidR="00205E5E" w:rsidRDefault="00205E5E" w:rsidP="00205E5E"/>
    <w:p w:rsidR="00205E5E" w:rsidRDefault="00205E5E" w:rsidP="00205E5E"/>
    <w:p w:rsidR="00205E5E" w:rsidRDefault="00205E5E" w:rsidP="00205E5E">
      <w:pPr>
        <w:rPr>
          <w:b/>
        </w:rPr>
      </w:pPr>
      <w:bookmarkStart w:id="3" w:name="§2"/>
      <w:bookmarkEnd w:id="3"/>
      <w:r>
        <w:rPr>
          <w:b/>
        </w:rPr>
        <w:t>§ 2.</w:t>
      </w:r>
      <w:r>
        <w:t xml:space="preserve"> </w:t>
      </w:r>
      <w:r>
        <w:rPr>
          <w:b/>
          <w:i/>
        </w:rPr>
        <w:t>Definisjoner</w:t>
      </w:r>
    </w:p>
    <w:p w:rsidR="00205E5E" w:rsidRDefault="00205E5E" w:rsidP="00205E5E">
      <w:pPr>
        <w:spacing w:before="120"/>
        <w:ind w:firstLine="180"/>
      </w:pPr>
      <w:r>
        <w:t xml:space="preserve">I denne </w:t>
      </w:r>
      <w:proofErr w:type="spellStart"/>
      <w:r>
        <w:t>forskriften</w:t>
      </w:r>
      <w:proofErr w:type="spellEnd"/>
      <w:r>
        <w:t xml:space="preserve">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a</w:t>
            </w:r>
            <w:proofErr w:type="gramEnd"/>
            <w:r>
              <w:t>)</w:t>
            </w:r>
          </w:p>
        </w:tc>
        <w:tc>
          <w:tcPr>
            <w:tcW w:w="9506" w:type="dxa"/>
            <w:noWrap/>
            <w:tcMar>
              <w:right w:w="80" w:type="dxa"/>
            </w:tcMar>
          </w:tcPr>
          <w:p w:rsidR="00205E5E" w:rsidRDefault="00205E5E" w:rsidP="00736021">
            <w:r>
              <w:rPr>
                <w:i/>
              </w:rPr>
              <w:t>Catchvekt:</w:t>
            </w:r>
            <w:r>
              <w:t xml:space="preserve"> En automatisk vekt som veier enkeltmengder. Enkeltmengdene kan være på forhånd oppsamlede enkeltmengder (f.eks. ferdigpakninger) eller utgjøre en del av en større mengde (bulkprodukt). Vekten kan sortere eller kontrollere enkeltmengder basert på forhåndsinnstilte verdier. Oftest utfører «catchvekter» dynamisk veiing. Begrepet «catchvekter» omfatter bl.a. automatiske sjekkvekter, sorteringsvekter (gradere), prismerkevekter, merkevekter, vekter som veier pakker/brev automatisk, og automatiske vekter påmontert hjullastere og søppelbiler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b</w:t>
            </w:r>
            <w:proofErr w:type="gramEnd"/>
            <w:r>
              <w:t>)</w:t>
            </w:r>
          </w:p>
        </w:tc>
        <w:tc>
          <w:tcPr>
            <w:tcW w:w="9506" w:type="dxa"/>
            <w:noWrap/>
            <w:tcMar>
              <w:right w:w="80" w:type="dxa"/>
            </w:tcMar>
          </w:tcPr>
          <w:p w:rsidR="00205E5E" w:rsidRDefault="00205E5E" w:rsidP="00736021">
            <w:r>
              <w:rPr>
                <w:i/>
              </w:rPr>
              <w:t>Automatisk vekt:</w:t>
            </w:r>
            <w:r>
              <w:t xml:space="preserve"> Et måleredskap som bestemmer massen av et produkt uten inngrep fra en operatør, og som følger et forhåndsdefinert program av automatiske prosesser karakteristisk for måleredskapet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r>
              <w:lastRenderedPageBreak/>
              <w:t>c)</w:t>
            </w:r>
          </w:p>
        </w:tc>
        <w:tc>
          <w:tcPr>
            <w:tcW w:w="9506" w:type="dxa"/>
            <w:noWrap/>
            <w:tcMar>
              <w:right w:w="80" w:type="dxa"/>
            </w:tcMar>
          </w:tcPr>
          <w:p w:rsidR="00205E5E" w:rsidRDefault="00205E5E" w:rsidP="00736021">
            <w:r>
              <w:rPr>
                <w:i/>
              </w:rPr>
              <w:t>Målestørrelsen:</w:t>
            </w:r>
            <w:r>
              <w:t xml:space="preserve"> Den bestemte størrelsen som skal måles</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r>
              <w:t>d)</w:t>
            </w:r>
          </w:p>
        </w:tc>
        <w:tc>
          <w:tcPr>
            <w:tcW w:w="9506" w:type="dxa"/>
            <w:noWrap/>
            <w:tcMar>
              <w:right w:w="80" w:type="dxa"/>
            </w:tcMar>
          </w:tcPr>
          <w:p w:rsidR="00205E5E" w:rsidRDefault="00205E5E" w:rsidP="00736021">
            <w:r>
              <w:rPr>
                <w:i/>
              </w:rPr>
              <w:t>Påvirkende størrelse:</w:t>
            </w:r>
            <w:r>
              <w:t xml:space="preserve"> En størrelse som ikke er målestørrelsen, men som påvirker måleresultatet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e</w:t>
            </w:r>
            <w:proofErr w:type="gramEnd"/>
            <w:r>
              <w:t>)</w:t>
            </w:r>
          </w:p>
        </w:tc>
        <w:tc>
          <w:tcPr>
            <w:tcW w:w="9506" w:type="dxa"/>
            <w:noWrap/>
            <w:tcMar>
              <w:right w:w="80" w:type="dxa"/>
            </w:tcMar>
          </w:tcPr>
          <w:p w:rsidR="00205E5E" w:rsidRDefault="00205E5E" w:rsidP="00736021">
            <w:r>
              <w:rPr>
                <w:i/>
              </w:rPr>
              <w:t>Angitte driftsbetingelser:</w:t>
            </w:r>
            <w:r>
              <w:t xml:space="preserve"> De verdier av målestørrelsen og påvirkende størrelser som utgjør catchvektens normale driftsbetingelser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f</w:t>
            </w:r>
            <w:proofErr w:type="gramEnd"/>
            <w:r>
              <w:t>)</w:t>
            </w:r>
          </w:p>
        </w:tc>
        <w:tc>
          <w:tcPr>
            <w:tcW w:w="9506" w:type="dxa"/>
            <w:noWrap/>
            <w:tcMar>
              <w:right w:w="80" w:type="dxa"/>
            </w:tcMar>
          </w:tcPr>
          <w:p w:rsidR="00205E5E" w:rsidRDefault="00205E5E" w:rsidP="00736021">
            <w:proofErr w:type="spellStart"/>
            <w:r>
              <w:rPr>
                <w:i/>
              </w:rPr>
              <w:t>Forstyrrelse</w:t>
            </w:r>
            <w:proofErr w:type="spellEnd"/>
            <w:r>
              <w:rPr>
                <w:i/>
              </w:rPr>
              <w:t>:</w:t>
            </w:r>
            <w:r>
              <w:t xml:space="preserve"> En påvirkende størrelse med en verdi som er innenfor de grenser som er spesifisert i hensiktsmessige krav, men utenfor catchvektens angitte driftsbetingelser. En påvirkende størrelse er uansett en forstyrrelse dersom den ikke er spesifisert i de angitte driftsbetingelser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g</w:t>
            </w:r>
            <w:proofErr w:type="gramEnd"/>
            <w:r>
              <w:t>)</w:t>
            </w:r>
          </w:p>
        </w:tc>
        <w:tc>
          <w:tcPr>
            <w:tcW w:w="9506" w:type="dxa"/>
            <w:noWrap/>
            <w:tcMar>
              <w:right w:w="80" w:type="dxa"/>
            </w:tcMar>
          </w:tcPr>
          <w:p w:rsidR="00205E5E" w:rsidRDefault="00205E5E" w:rsidP="00736021">
            <w:r>
              <w:rPr>
                <w:i/>
              </w:rPr>
              <w:t>Kritiske endringsverdi:</w:t>
            </w:r>
            <w:r>
              <w:t xml:space="preserve"> Den verdien der endringen i måleresultatet anses som uønsket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proofErr w:type="gramStart"/>
            <w:r>
              <w:t>h</w:t>
            </w:r>
            <w:proofErr w:type="gramEnd"/>
            <w:r>
              <w:t>)</w:t>
            </w:r>
          </w:p>
        </w:tc>
        <w:tc>
          <w:tcPr>
            <w:tcW w:w="9506" w:type="dxa"/>
            <w:noWrap/>
            <w:tcMar>
              <w:right w:w="80" w:type="dxa"/>
            </w:tcMar>
          </w:tcPr>
          <w:p w:rsidR="00205E5E" w:rsidRDefault="00205E5E" w:rsidP="00736021">
            <w:r>
              <w:rPr>
                <w:i/>
              </w:rPr>
              <w:t>Direktesalg:</w:t>
            </w:r>
            <w:r>
              <w:t xml:space="preserve"> En handelstransaksjon er direktesalg dersom:</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8"/>
        <w:gridCol w:w="8404"/>
      </w:tblGrid>
      <w:tr w:rsidR="00205E5E" w:rsidTr="00736021">
        <w:tc>
          <w:tcPr>
            <w:tcW w:w="720" w:type="dxa"/>
            <w:noWrap/>
            <w:tcMar>
              <w:right w:w="80" w:type="dxa"/>
            </w:tcMar>
          </w:tcPr>
          <w:p w:rsidR="00205E5E" w:rsidRDefault="00205E5E" w:rsidP="00736021">
            <w:pPr>
              <w:jc w:val="right"/>
            </w:pPr>
            <w:r>
              <w:t>1.</w:t>
            </w:r>
          </w:p>
        </w:tc>
        <w:tc>
          <w:tcPr>
            <w:tcW w:w="9146" w:type="dxa"/>
            <w:noWrap/>
            <w:tcMar>
              <w:right w:w="80" w:type="dxa"/>
            </w:tcMar>
          </w:tcPr>
          <w:p w:rsidR="00205E5E" w:rsidRDefault="00205E5E" w:rsidP="00736021">
            <w:r>
              <w:t>Måleresultatet danner grunnlaget for prisen som betales,</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8"/>
        <w:gridCol w:w="8404"/>
      </w:tblGrid>
      <w:tr w:rsidR="00205E5E" w:rsidTr="00736021">
        <w:tc>
          <w:tcPr>
            <w:tcW w:w="720" w:type="dxa"/>
            <w:noWrap/>
            <w:tcMar>
              <w:right w:w="80" w:type="dxa"/>
            </w:tcMar>
          </w:tcPr>
          <w:p w:rsidR="00205E5E" w:rsidRDefault="00205E5E" w:rsidP="00736021">
            <w:pPr>
              <w:jc w:val="right"/>
            </w:pPr>
            <w:r>
              <w:t>2.</w:t>
            </w:r>
          </w:p>
        </w:tc>
        <w:tc>
          <w:tcPr>
            <w:tcW w:w="9146" w:type="dxa"/>
            <w:noWrap/>
            <w:tcMar>
              <w:right w:w="80" w:type="dxa"/>
            </w:tcMar>
          </w:tcPr>
          <w:p w:rsidR="00205E5E" w:rsidRDefault="00205E5E" w:rsidP="00736021">
            <w:r>
              <w:t>Minst en av de involverte parter i transaksjonen i forbindelse med målingen er en kunde eller en annen part som krever et lignende beskyttelsesnivå, og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8"/>
        <w:gridCol w:w="8404"/>
      </w:tblGrid>
      <w:tr w:rsidR="00205E5E" w:rsidTr="00736021">
        <w:tc>
          <w:tcPr>
            <w:tcW w:w="720" w:type="dxa"/>
            <w:noWrap/>
            <w:tcMar>
              <w:right w:w="80" w:type="dxa"/>
            </w:tcMar>
          </w:tcPr>
          <w:p w:rsidR="00205E5E" w:rsidRDefault="00205E5E" w:rsidP="00736021">
            <w:pPr>
              <w:jc w:val="right"/>
            </w:pPr>
            <w:r>
              <w:t>3.</w:t>
            </w:r>
          </w:p>
        </w:tc>
        <w:tc>
          <w:tcPr>
            <w:tcW w:w="9146" w:type="dxa"/>
            <w:noWrap/>
            <w:tcMar>
              <w:right w:w="80" w:type="dxa"/>
            </w:tcMar>
          </w:tcPr>
          <w:p w:rsidR="00205E5E" w:rsidRDefault="00205E5E" w:rsidP="00736021">
            <w:r>
              <w:t>Alle parter i transaksjonen godtar måleresultatet på den tid og det sted transaksjonen skjer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205E5E" w:rsidTr="00736021">
        <w:tc>
          <w:tcPr>
            <w:tcW w:w="360" w:type="dxa"/>
            <w:noWrap/>
            <w:tcMar>
              <w:right w:w="80" w:type="dxa"/>
            </w:tcMar>
          </w:tcPr>
          <w:p w:rsidR="00205E5E" w:rsidRDefault="00205E5E" w:rsidP="00736021">
            <w:pPr>
              <w:jc w:val="right"/>
            </w:pPr>
            <w:r>
              <w:t>i)</w:t>
            </w:r>
          </w:p>
        </w:tc>
        <w:tc>
          <w:tcPr>
            <w:tcW w:w="9506" w:type="dxa"/>
            <w:noWrap/>
            <w:tcMar>
              <w:right w:w="80" w:type="dxa"/>
            </w:tcMar>
          </w:tcPr>
          <w:p w:rsidR="00205E5E" w:rsidRDefault="00205E5E" w:rsidP="00736021">
            <w:r>
              <w:rPr>
                <w:i/>
              </w:rPr>
              <w:t>Klimatiske miljøer:</w:t>
            </w:r>
            <w:r>
              <w:t xml:space="preserve"> De omgivelser der catchvekten kan benyttes. Det er definert en rekke temperaturgrenser for å ta høyde for klimaforskjeller mellom EØS-statene.</w:t>
            </w:r>
          </w:p>
        </w:tc>
      </w:tr>
    </w:tbl>
    <w:p w:rsidR="00205E5E" w:rsidRDefault="00205E5E" w:rsidP="00205E5E">
      <w:bookmarkStart w:id="4" w:name="PARAGRAF_3"/>
    </w:p>
    <w:p w:rsidR="00205E5E" w:rsidRDefault="00205E5E" w:rsidP="00205E5E"/>
    <w:p w:rsidR="00205E5E" w:rsidRDefault="00205E5E" w:rsidP="00205E5E">
      <w:pPr>
        <w:rPr>
          <w:b/>
        </w:rPr>
      </w:pPr>
      <w:bookmarkStart w:id="5" w:name="§3"/>
      <w:bookmarkEnd w:id="5"/>
      <w:r>
        <w:rPr>
          <w:b/>
        </w:rPr>
        <w:t>§ 3.</w:t>
      </w:r>
      <w:r>
        <w:t xml:space="preserve"> </w:t>
      </w:r>
      <w:r>
        <w:rPr>
          <w:b/>
          <w:i/>
        </w:rPr>
        <w:t>Krav til catchvekter under bruk</w:t>
      </w:r>
    </w:p>
    <w:p w:rsidR="00205E5E" w:rsidRDefault="00205E5E" w:rsidP="00205E5E">
      <w:pPr>
        <w:spacing w:before="120"/>
        <w:ind w:firstLine="180"/>
      </w:pPr>
      <w:r>
        <w:t xml:space="preserve">Catchvekter skal minimum oppfylle de grunnleggende kravene fastsatt i </w:t>
      </w:r>
      <w:hyperlink r:id="rId8" w:anchor="reference/forskrift/2007-12-21-1742/kap2" w:history="1">
        <w:r>
          <w:t>kapittel 2</w:t>
        </w:r>
      </w:hyperlink>
      <w:r>
        <w:t xml:space="preserve">. Maksimale tillatte målefeil for catchvekter er angitt i </w:t>
      </w:r>
      <w:hyperlink r:id="rId9" w:anchor="reference/forskrift/2007-12-21-1742/§31" w:history="1">
        <w:r>
          <w:t>§ 31</w:t>
        </w:r>
      </w:hyperlink>
      <w:r>
        <w:t>.</w:t>
      </w:r>
    </w:p>
    <w:p w:rsidR="00205E5E" w:rsidRDefault="00205E5E" w:rsidP="00205E5E">
      <w:pPr>
        <w:spacing w:before="120"/>
        <w:ind w:firstLine="180"/>
      </w:pPr>
      <w:r>
        <w:t>Catchvekter som er typegodkjent etter tidligere regelverk, skal under bruk oppfylle de kravene som var gjeldende da vekten ble typegodkjent, herunder kravene til målenøyaktighet under bruk.</w:t>
      </w:r>
    </w:p>
    <w:p w:rsidR="00205E5E" w:rsidRDefault="00205E5E" w:rsidP="00205E5E">
      <w:pPr>
        <w:spacing w:before="120"/>
        <w:ind w:firstLine="180"/>
      </w:pPr>
      <w:r>
        <w:t>Catchvekter som ikke er rettmessig samsvarsmerket eller har gyldig typegodkjenning og førstegangsgodkjenning, er ikke tillatt å bruke.</w:t>
      </w:r>
    </w:p>
    <w:p w:rsidR="00205E5E" w:rsidRDefault="00205E5E" w:rsidP="00205E5E">
      <w:pPr>
        <w:spacing w:before="120"/>
        <w:ind w:firstLine="180"/>
      </w:pPr>
      <w:r>
        <w:t xml:space="preserve">Der innpakning, beholder, </w:t>
      </w:r>
      <w:proofErr w:type="spellStart"/>
      <w:r>
        <w:t>opphengsanordning</w:t>
      </w:r>
      <w:proofErr w:type="spellEnd"/>
      <w:r>
        <w:t xml:space="preserve"> eller lignende som veies sammen med varen påvirker måleresultatet, skal massen av dette (tara) trekkes fra.</w:t>
      </w:r>
    </w:p>
    <w:p w:rsidR="00205E5E" w:rsidRDefault="00205E5E" w:rsidP="00205E5E">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205E5E" w:rsidTr="00736021">
        <w:tc>
          <w:tcPr>
            <w:tcW w:w="0" w:type="dxa"/>
            <w:noWrap/>
            <w:tcMar>
              <w:right w:w="80" w:type="dxa"/>
            </w:tcMar>
          </w:tcPr>
          <w:p w:rsidR="00205E5E" w:rsidRDefault="00205E5E" w:rsidP="00736021">
            <w:pPr>
              <w:pStyle w:val="Fotnotetekst"/>
              <w:spacing w:before="2" w:after="2"/>
              <w:jc w:val="right"/>
              <w:rPr>
                <w:sz w:val="18"/>
              </w:rPr>
            </w:pPr>
            <w:r>
              <w:rPr>
                <w:sz w:val="18"/>
              </w:rPr>
              <w:t>0</w:t>
            </w:r>
          </w:p>
        </w:tc>
        <w:tc>
          <w:tcPr>
            <w:tcW w:w="9866" w:type="dxa"/>
            <w:noWrap/>
            <w:tcMar>
              <w:right w:w="80" w:type="dxa"/>
            </w:tcMar>
          </w:tcPr>
          <w:p w:rsidR="00205E5E" w:rsidRDefault="00205E5E" w:rsidP="00736021">
            <w:pPr>
              <w:pStyle w:val="Fotnotetekst"/>
              <w:spacing w:before="2" w:after="2"/>
              <w:rPr>
                <w:sz w:val="18"/>
              </w:rPr>
            </w:pPr>
            <w:r>
              <w:rPr>
                <w:sz w:val="18"/>
              </w:rPr>
              <w:t xml:space="preserve">Endret ved </w:t>
            </w:r>
            <w:hyperlink r:id="rId10" w:anchor="reference/forskrift/2017-12-19-2287" w:history="1">
              <w:r>
                <w:rPr>
                  <w:sz w:val="18"/>
                </w:rPr>
                <w:t xml:space="preserve">forskrift 19 </w:t>
              </w:r>
              <w:proofErr w:type="spellStart"/>
              <w:r>
                <w:rPr>
                  <w:sz w:val="18"/>
                </w:rPr>
                <w:t>des</w:t>
              </w:r>
              <w:proofErr w:type="spellEnd"/>
              <w:r>
                <w:rPr>
                  <w:sz w:val="18"/>
                </w:rPr>
                <w:t xml:space="preserve"> 2017 nr. 2287</w:t>
              </w:r>
            </w:hyperlink>
            <w:r>
              <w:rPr>
                <w:sz w:val="18"/>
              </w:rPr>
              <w:t xml:space="preserve"> (i kraft 1 jan 2018).</w:t>
            </w:r>
          </w:p>
        </w:tc>
      </w:tr>
    </w:tbl>
    <w:p w:rsidR="00205E5E" w:rsidRDefault="00205E5E" w:rsidP="00205E5E">
      <w:bookmarkStart w:id="6" w:name="PARAGRAF_4"/>
      <w:bookmarkEnd w:id="4"/>
    </w:p>
    <w:p w:rsidR="00205E5E" w:rsidRDefault="00205E5E" w:rsidP="00205E5E"/>
    <w:p w:rsidR="00205E5E" w:rsidRDefault="00205E5E" w:rsidP="00205E5E">
      <w:pPr>
        <w:rPr>
          <w:b/>
        </w:rPr>
      </w:pPr>
      <w:bookmarkStart w:id="7" w:name="§4"/>
      <w:bookmarkEnd w:id="7"/>
      <w:r>
        <w:rPr>
          <w:b/>
        </w:rPr>
        <w:lastRenderedPageBreak/>
        <w:t>§ 4.</w:t>
      </w:r>
      <w:r>
        <w:t xml:space="preserve"> </w:t>
      </w:r>
      <w:r>
        <w:rPr>
          <w:b/>
          <w:i/>
        </w:rPr>
        <w:t>Kontroll og godkjenning ved salg av catchvekter</w:t>
      </w:r>
    </w:p>
    <w:p w:rsidR="00205E5E" w:rsidRDefault="00205E5E" w:rsidP="00205E5E">
      <w:pPr>
        <w:spacing w:before="120"/>
        <w:ind w:firstLine="180"/>
      </w:pPr>
      <w:r>
        <w:t>Catchvekter som selges eller tilbys for salg, skal ha gyldig samsvarsvurdering etter bestemmelsene i forskrift om målenheter og måling kapittel 4.</w:t>
      </w:r>
    </w:p>
    <w:p w:rsidR="00205E5E" w:rsidRDefault="00205E5E" w:rsidP="00205E5E">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205E5E" w:rsidTr="00736021">
        <w:tc>
          <w:tcPr>
            <w:tcW w:w="0" w:type="dxa"/>
            <w:noWrap/>
            <w:tcMar>
              <w:right w:w="80" w:type="dxa"/>
            </w:tcMar>
          </w:tcPr>
          <w:p w:rsidR="00205E5E" w:rsidRDefault="00205E5E" w:rsidP="00736021">
            <w:pPr>
              <w:pStyle w:val="Fotnotetekst"/>
              <w:spacing w:before="2" w:after="2"/>
              <w:jc w:val="right"/>
              <w:rPr>
                <w:sz w:val="18"/>
              </w:rPr>
            </w:pPr>
            <w:r>
              <w:rPr>
                <w:sz w:val="18"/>
              </w:rPr>
              <w:t>0</w:t>
            </w:r>
          </w:p>
        </w:tc>
        <w:tc>
          <w:tcPr>
            <w:tcW w:w="9866" w:type="dxa"/>
            <w:noWrap/>
            <w:tcMar>
              <w:right w:w="80" w:type="dxa"/>
            </w:tcMar>
          </w:tcPr>
          <w:p w:rsidR="00205E5E" w:rsidRDefault="00205E5E" w:rsidP="00736021">
            <w:pPr>
              <w:pStyle w:val="Fotnotetekst"/>
              <w:spacing w:before="2" w:after="2"/>
              <w:rPr>
                <w:sz w:val="18"/>
              </w:rPr>
            </w:pPr>
            <w:r>
              <w:rPr>
                <w:sz w:val="18"/>
              </w:rPr>
              <w:t xml:space="preserve">Endret ved </w:t>
            </w:r>
            <w:hyperlink r:id="rId11" w:anchor="reference/forskrift/2016-04-22-412" w:history="1">
              <w:r>
                <w:rPr>
                  <w:sz w:val="18"/>
                </w:rPr>
                <w:t>forskrifter 22 april 2016 nr. 412</w:t>
              </w:r>
            </w:hyperlink>
            <w:r>
              <w:rPr>
                <w:sz w:val="18"/>
              </w:rPr>
              <w:t xml:space="preserve">, </w:t>
            </w:r>
            <w:hyperlink r:id="rId12" w:anchor="reference/forskrift/2017-12-19-2287" w:history="1">
              <w:r>
                <w:rPr>
                  <w:sz w:val="18"/>
                </w:rPr>
                <w:t xml:space="preserve">19 </w:t>
              </w:r>
              <w:proofErr w:type="spellStart"/>
              <w:r>
                <w:rPr>
                  <w:sz w:val="18"/>
                </w:rPr>
                <w:t>des</w:t>
              </w:r>
              <w:proofErr w:type="spellEnd"/>
              <w:r>
                <w:rPr>
                  <w:sz w:val="18"/>
                </w:rPr>
                <w:t xml:space="preserve"> 2017 nr. 2287</w:t>
              </w:r>
            </w:hyperlink>
            <w:r>
              <w:rPr>
                <w:sz w:val="18"/>
              </w:rPr>
              <w:t xml:space="preserve"> (i kraft 1 jan 2018).</w:t>
            </w:r>
          </w:p>
        </w:tc>
      </w:tr>
    </w:tbl>
    <w:p w:rsidR="00205E5E" w:rsidRDefault="00205E5E" w:rsidP="00205E5E">
      <w:bookmarkStart w:id="8" w:name="PARAGRAF_5"/>
      <w:bookmarkEnd w:id="6"/>
    </w:p>
    <w:p w:rsidR="00205E5E" w:rsidRDefault="00205E5E" w:rsidP="00205E5E"/>
    <w:p w:rsidR="00205E5E" w:rsidRDefault="00205E5E" w:rsidP="00205E5E">
      <w:pPr>
        <w:rPr>
          <w:b/>
        </w:rPr>
      </w:pPr>
      <w:bookmarkStart w:id="9" w:name="§5"/>
      <w:bookmarkEnd w:id="9"/>
      <w:r>
        <w:rPr>
          <w:b/>
        </w:rPr>
        <w:t>§ 5.</w:t>
      </w:r>
      <w:r>
        <w:t xml:space="preserve"> </w:t>
      </w:r>
      <w:r>
        <w:rPr>
          <w:b/>
          <w:i/>
        </w:rPr>
        <w:t>Tilsynet med en catchvekt som brukes</w:t>
      </w:r>
    </w:p>
    <w:p w:rsidR="00205E5E" w:rsidRDefault="00205E5E" w:rsidP="00205E5E">
      <w:pPr>
        <w:spacing w:before="120"/>
        <w:ind w:firstLine="180"/>
      </w:pPr>
      <w:r>
        <w:t xml:space="preserve">En catchvekt er underlagt et periodisk tilsyn med tilsynsperiode på ett år. Tilsynsperioden er tre år for en catchvekt med påmontert hjullaster og en catchvekt som brukes i kombinasjon med en </w:t>
      </w:r>
      <w:proofErr w:type="spellStart"/>
      <w:r>
        <w:t>flerdimensjonsmåler</w:t>
      </w:r>
      <w:proofErr w:type="spellEnd"/>
      <w:r>
        <w:t>. Catchvekter som benyttes til målinger i forbindelse med fremstilling av ferdigpakninger i fiskemottak og veiing i fiskemottak, som mottar mer enn 10 tonn fisk per år (per mottak), er ikke underlagt periodisk tilsyn.</w:t>
      </w:r>
    </w:p>
    <w:p w:rsidR="00205E5E" w:rsidRDefault="00205E5E" w:rsidP="00205E5E">
      <w:pPr>
        <w:spacing w:before="120"/>
        <w:ind w:firstLine="180"/>
      </w:pPr>
      <w:r>
        <w:t>Catchvekten skal normalt testes med de produktene den vanligvis benyttes til å veie og under normale driftsbetingelser. Under testingen må det være tilgjengelig tilstrekkelig mengde av testproduktene, håndteringsutstyr, kvalifisert personell og nødvendig kontrollinstrument i nærheten av vekten.</w:t>
      </w:r>
    </w:p>
    <w:p w:rsidR="00205E5E" w:rsidRDefault="00205E5E" w:rsidP="00205E5E">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1"/>
        <w:gridCol w:w="8911"/>
      </w:tblGrid>
      <w:tr w:rsidR="00205E5E" w:rsidTr="00736021">
        <w:tc>
          <w:tcPr>
            <w:tcW w:w="0" w:type="dxa"/>
            <w:noWrap/>
            <w:tcMar>
              <w:right w:w="80" w:type="dxa"/>
            </w:tcMar>
          </w:tcPr>
          <w:p w:rsidR="00205E5E" w:rsidRDefault="00205E5E" w:rsidP="00736021">
            <w:pPr>
              <w:pStyle w:val="Fotnotetekst"/>
              <w:spacing w:before="2" w:after="2"/>
              <w:jc w:val="right"/>
              <w:rPr>
                <w:sz w:val="18"/>
              </w:rPr>
            </w:pPr>
            <w:r>
              <w:rPr>
                <w:sz w:val="18"/>
              </w:rPr>
              <w:t>0</w:t>
            </w:r>
          </w:p>
        </w:tc>
        <w:tc>
          <w:tcPr>
            <w:tcW w:w="9866" w:type="dxa"/>
            <w:noWrap/>
            <w:tcMar>
              <w:right w:w="80" w:type="dxa"/>
            </w:tcMar>
          </w:tcPr>
          <w:p w:rsidR="00205E5E" w:rsidRDefault="00205E5E" w:rsidP="00736021">
            <w:pPr>
              <w:pStyle w:val="Fotnotetekst"/>
              <w:spacing w:before="2" w:after="2"/>
              <w:rPr>
                <w:sz w:val="18"/>
              </w:rPr>
            </w:pPr>
            <w:r>
              <w:rPr>
                <w:sz w:val="18"/>
              </w:rPr>
              <w:t xml:space="preserve">Endret ved </w:t>
            </w:r>
            <w:hyperlink r:id="rId13" w:anchor="reference/forskrift/2008-04-21-380" w:history="1">
              <w:r>
                <w:rPr>
                  <w:sz w:val="18"/>
                </w:rPr>
                <w:t>forskrifter 21 april 2008 nr. 380</w:t>
              </w:r>
            </w:hyperlink>
            <w:r>
              <w:rPr>
                <w:sz w:val="18"/>
              </w:rPr>
              <w:t xml:space="preserve">, </w:t>
            </w:r>
            <w:hyperlink r:id="rId14" w:anchor="reference/forskrift/2010-12-14-1601" w:history="1">
              <w:r>
                <w:rPr>
                  <w:sz w:val="18"/>
                </w:rPr>
                <w:t xml:space="preserve">14 </w:t>
              </w:r>
              <w:proofErr w:type="spellStart"/>
              <w:r>
                <w:rPr>
                  <w:sz w:val="18"/>
                </w:rPr>
                <w:t>des</w:t>
              </w:r>
              <w:proofErr w:type="spellEnd"/>
              <w:r>
                <w:rPr>
                  <w:sz w:val="18"/>
                </w:rPr>
                <w:t xml:space="preserve"> 2010 nr. 1601</w:t>
              </w:r>
            </w:hyperlink>
            <w:r>
              <w:rPr>
                <w:sz w:val="18"/>
              </w:rPr>
              <w:t xml:space="preserve"> (i kraft 1 jan 2011), </w:t>
            </w:r>
            <w:hyperlink r:id="rId15" w:anchor="reference/forskrift/2013-12-16-1528" w:history="1">
              <w:r>
                <w:rPr>
                  <w:sz w:val="18"/>
                </w:rPr>
                <w:t xml:space="preserve">16 </w:t>
              </w:r>
              <w:proofErr w:type="spellStart"/>
              <w:r>
                <w:rPr>
                  <w:sz w:val="18"/>
                </w:rPr>
                <w:t>des</w:t>
              </w:r>
              <w:proofErr w:type="spellEnd"/>
              <w:r>
                <w:rPr>
                  <w:sz w:val="18"/>
                </w:rPr>
                <w:t xml:space="preserve"> 2013 nr. 1528</w:t>
              </w:r>
            </w:hyperlink>
            <w:r>
              <w:rPr>
                <w:sz w:val="18"/>
              </w:rPr>
              <w:t xml:space="preserve"> (i kraft 1 jan 2014), </w:t>
            </w:r>
            <w:hyperlink r:id="rId16" w:anchor="reference/forskrift/2015-12-18-1754" w:history="1">
              <w:r>
                <w:rPr>
                  <w:sz w:val="18"/>
                </w:rPr>
                <w:t xml:space="preserve">18 </w:t>
              </w:r>
              <w:proofErr w:type="spellStart"/>
              <w:r>
                <w:rPr>
                  <w:sz w:val="18"/>
                </w:rPr>
                <w:t>des</w:t>
              </w:r>
              <w:proofErr w:type="spellEnd"/>
              <w:r>
                <w:rPr>
                  <w:sz w:val="18"/>
                </w:rPr>
                <w:t xml:space="preserve"> 2015 nr. 1754</w:t>
              </w:r>
            </w:hyperlink>
            <w:r>
              <w:rPr>
                <w:sz w:val="18"/>
              </w:rPr>
              <w:t xml:space="preserve"> (i kraft 1 jan 2016).</w:t>
            </w:r>
          </w:p>
        </w:tc>
      </w:tr>
      <w:bookmarkEnd w:id="8"/>
    </w:tbl>
    <w:p w:rsidR="00205E5E" w:rsidRDefault="00205E5E" w:rsidP="00205E5E"/>
    <w:p w:rsidR="00205E5E" w:rsidRDefault="00205E5E" w:rsidP="00205E5E"/>
    <w:p w:rsidR="00205E5E" w:rsidRDefault="00205E5E" w:rsidP="00205E5E"/>
    <w:p w:rsidR="00205E5E" w:rsidRDefault="00205E5E" w:rsidP="00205E5E">
      <w:pPr>
        <w:pStyle w:val="Overskrift2"/>
        <w:spacing w:before="0" w:after="0"/>
      </w:pPr>
      <w:bookmarkStart w:id="10" w:name="_Toc256000004"/>
      <w:r>
        <w:t>Kapittel 2 – Krav til catchvekter</w:t>
      </w:r>
      <w:bookmarkEnd w:id="10"/>
    </w:p>
    <w:p w:rsidR="00205E5E" w:rsidRDefault="00205E5E" w:rsidP="00205E5E">
      <w:r>
        <w:br/>
      </w:r>
    </w:p>
    <w:p w:rsidR="00205E5E" w:rsidRDefault="00205E5E" w:rsidP="00205E5E">
      <w:pPr>
        <w:pStyle w:val="Overskrift3"/>
        <w:spacing w:before="0"/>
      </w:pPr>
      <w:bookmarkStart w:id="11" w:name="_Toc256000005"/>
      <w:r>
        <w:t>Avsnitt I – Generelle krav</w:t>
      </w:r>
      <w:bookmarkStart w:id="12" w:name="PARAGRAF_6"/>
      <w:bookmarkEnd w:id="11"/>
    </w:p>
    <w:p w:rsidR="00205E5E" w:rsidRDefault="00205E5E" w:rsidP="00205E5E"/>
    <w:p w:rsidR="00205E5E" w:rsidRDefault="00205E5E" w:rsidP="00205E5E">
      <w:pPr>
        <w:rPr>
          <w:b/>
        </w:rPr>
      </w:pPr>
      <w:bookmarkStart w:id="13" w:name="§6"/>
      <w:bookmarkEnd w:id="13"/>
      <w:r>
        <w:rPr>
          <w:b/>
        </w:rPr>
        <w:t>§ 6.</w:t>
      </w:r>
      <w:r>
        <w:t xml:space="preserve"> </w:t>
      </w:r>
      <w:r>
        <w:rPr>
          <w:b/>
          <w:i/>
        </w:rPr>
        <w:t>Måleteknisk beskyttelse og kvalitetsnivå</w:t>
      </w:r>
    </w:p>
    <w:p w:rsidR="00205E5E" w:rsidRDefault="00205E5E" w:rsidP="00205E5E">
      <w:pPr>
        <w:spacing w:before="120"/>
        <w:ind w:firstLine="180"/>
      </w:pPr>
      <w:r>
        <w:t xml:space="preserve">En catchvekt skal ha en høy grad av måleteknisk beskyttelse, slik at alle berørte parter kan ha tillitt til måleresultatet, og den skal konstrueres og fremstilles etter </w:t>
      </w:r>
      <w:proofErr w:type="spellStart"/>
      <w:r>
        <w:t>tilfredstillende</w:t>
      </w:r>
      <w:proofErr w:type="spellEnd"/>
      <w:r>
        <w:t xml:space="preserve"> kvalitetsnivå med hensyn til måleteknologi og måledataenes sikkerhet.</w:t>
      </w:r>
      <w:bookmarkEnd w:id="12"/>
    </w:p>
    <w:p w:rsidR="00205E5E" w:rsidRDefault="00205E5E" w:rsidP="00205E5E"/>
    <w:p w:rsidR="00205E5E" w:rsidRDefault="00205E5E" w:rsidP="00205E5E">
      <w:pPr>
        <w:rPr>
          <w:b/>
        </w:rPr>
      </w:pPr>
      <w:bookmarkStart w:id="14" w:name="§7"/>
      <w:bookmarkEnd w:id="14"/>
      <w:r>
        <w:rPr>
          <w:b/>
        </w:rPr>
        <w:t>§ 7.</w:t>
      </w:r>
      <w:r>
        <w:t xml:space="preserve"> </w:t>
      </w:r>
      <w:r>
        <w:rPr>
          <w:b/>
          <w:i/>
        </w:rPr>
        <w:t>Påtenkt bruk og påregnelig feilbruk</w:t>
      </w:r>
    </w:p>
    <w:p w:rsidR="00205E5E" w:rsidRDefault="00205E5E" w:rsidP="00205E5E">
      <w:pPr>
        <w:spacing w:before="120"/>
        <w:ind w:firstLine="180"/>
      </w:pPr>
      <w:r>
        <w:t>Det skal tas hensyn til catchvektens påtenkte bruk samt den påregnelige feilbruk ved valg av løsninger som anvendes for å oppfylle kravene.</w:t>
      </w:r>
      <w:bookmarkStart w:id="15" w:name="PARAGRAF_8"/>
    </w:p>
    <w:p w:rsidR="00205E5E" w:rsidRDefault="00205E5E" w:rsidP="00205E5E"/>
    <w:p w:rsidR="00205E5E" w:rsidRDefault="00205E5E" w:rsidP="00205E5E">
      <w:pPr>
        <w:rPr>
          <w:b/>
        </w:rPr>
      </w:pPr>
      <w:bookmarkStart w:id="16" w:name="§8"/>
      <w:bookmarkEnd w:id="16"/>
      <w:r>
        <w:rPr>
          <w:b/>
        </w:rPr>
        <w:t>§ 8.</w:t>
      </w:r>
      <w:r>
        <w:t xml:space="preserve"> </w:t>
      </w:r>
      <w:r>
        <w:rPr>
          <w:b/>
          <w:i/>
        </w:rPr>
        <w:t>Tillatte feil</w:t>
      </w:r>
    </w:p>
    <w:p w:rsidR="00205E5E" w:rsidRDefault="00205E5E" w:rsidP="00205E5E">
      <w:pPr>
        <w:spacing w:before="120"/>
        <w:ind w:firstLine="180"/>
      </w:pPr>
      <w:r>
        <w:lastRenderedPageBreak/>
        <w:t>Under de angitte driftsbetingelser og i fravær av en forstyrrelse skal målefeilen ikke overstige den maksimale tillatte målefeil som er fastsatt i avsnitt II.</w:t>
      </w:r>
    </w:p>
    <w:p w:rsidR="00205E5E" w:rsidRDefault="00205E5E" w:rsidP="00205E5E">
      <w:pPr>
        <w:spacing w:before="120"/>
        <w:ind w:firstLine="180"/>
      </w:pPr>
      <w:r>
        <w:t xml:space="preserve">Med mindre annet er angitt i avsnitt II, uttrykkes den maksimale tillatte målefeil som avviket fra den sanne </w:t>
      </w:r>
      <w:proofErr w:type="spellStart"/>
      <w:r>
        <w:t>måleverdi</w:t>
      </w:r>
      <w:proofErr w:type="spellEnd"/>
      <w:r>
        <w:t xml:space="preserve"> som et tosidig intervall.</w:t>
      </w:r>
    </w:p>
    <w:p w:rsidR="00205E5E" w:rsidRDefault="00205E5E" w:rsidP="00205E5E">
      <w:pPr>
        <w:spacing w:before="120"/>
        <w:ind w:firstLine="180"/>
      </w:pPr>
      <w:r>
        <w:t>Under de angitte driftsbetingelser og dersom det foreligger en forstyrrelse, er kravet til yteevne som fastsatt i avsnitt II.</w:t>
      </w:r>
    </w:p>
    <w:p w:rsidR="00205E5E" w:rsidRDefault="00205E5E" w:rsidP="00205E5E">
      <w:pPr>
        <w:spacing w:before="120"/>
        <w:ind w:firstLine="180"/>
      </w:pPr>
      <w:r>
        <w:t>Dersom catchvekten er beregnet brukt i et gitt permanent kontinuerlig elektromagnetisk felt, skal måleresultatet under forsøket med amplitudemodulert elektromagnetisk felt ligge innenfor maksimal tillatt målefeil.</w:t>
      </w:r>
      <w:bookmarkStart w:id="17" w:name="PARAGRAF_9"/>
      <w:bookmarkEnd w:id="15"/>
    </w:p>
    <w:p w:rsidR="00205E5E" w:rsidRDefault="00205E5E" w:rsidP="00205E5E"/>
    <w:p w:rsidR="00205E5E" w:rsidRDefault="00205E5E" w:rsidP="00205E5E">
      <w:pPr>
        <w:rPr>
          <w:b/>
        </w:rPr>
      </w:pPr>
      <w:bookmarkStart w:id="18" w:name="§9"/>
      <w:bookmarkEnd w:id="18"/>
      <w:r>
        <w:rPr>
          <w:b/>
        </w:rPr>
        <w:t>§ 9.</w:t>
      </w:r>
      <w:r>
        <w:t xml:space="preserve"> </w:t>
      </w:r>
      <w:r>
        <w:rPr>
          <w:b/>
          <w:i/>
        </w:rPr>
        <w:t>Påvirkende størrelser</w:t>
      </w:r>
    </w:p>
    <w:p w:rsidR="00205E5E" w:rsidRDefault="00205E5E" w:rsidP="00205E5E">
      <w:pPr>
        <w:spacing w:before="120"/>
        <w:ind w:firstLine="180"/>
      </w:pPr>
      <w:r>
        <w:t>Produsenten skal angi det klimatiske og elektromagnetiske miljø som catchvekten er beregnet brukt i, samt strømforsyning og andre påvirkende størrelser som kan påvirke målenøyaktigheten, idet det tas hensyn til kravene fastsatt i avsnitt II.</w:t>
      </w:r>
      <w:bookmarkStart w:id="19" w:name="PARAGRAF_10"/>
      <w:bookmarkEnd w:id="17"/>
    </w:p>
    <w:p w:rsidR="00205E5E" w:rsidRDefault="00205E5E" w:rsidP="00205E5E"/>
    <w:p w:rsidR="00205E5E" w:rsidRDefault="00205E5E" w:rsidP="00205E5E">
      <w:pPr>
        <w:rPr>
          <w:b/>
        </w:rPr>
      </w:pPr>
      <w:bookmarkStart w:id="20" w:name="§10"/>
      <w:bookmarkEnd w:id="20"/>
      <w:r>
        <w:rPr>
          <w:b/>
        </w:rPr>
        <w:t>§ 10.</w:t>
      </w:r>
      <w:r>
        <w:t xml:space="preserve"> </w:t>
      </w:r>
      <w:r>
        <w:rPr>
          <w:b/>
          <w:i/>
        </w:rPr>
        <w:t>Klimatiske miljø</w:t>
      </w:r>
    </w:p>
    <w:p w:rsidR="00205E5E" w:rsidRDefault="00205E5E" w:rsidP="00205E5E">
      <w:pPr>
        <w:spacing w:before="120"/>
        <w:ind w:firstLine="180"/>
      </w:pPr>
      <w:r>
        <w:t>Produsenten skal angi øvre og nedre temperaturgrense blant verdiene i tabell 1 og angi hvorvidt catchvekten er konstruert for kondenserende eller ikke-kondenserende fuktighet, samt om den tiltenkte plassering er åpen eller lukket.</w:t>
      </w:r>
    </w:p>
    <w:p w:rsidR="00205E5E" w:rsidRDefault="00205E5E" w:rsidP="00205E5E">
      <w:pPr>
        <w:spacing w:before="120"/>
        <w:ind w:firstLine="180"/>
        <w:rPr>
          <w:sz w:val="6"/>
        </w:rPr>
      </w:pPr>
    </w:p>
    <w:p w:rsidR="00205E5E" w:rsidRDefault="00205E5E" w:rsidP="00205E5E">
      <w:pPr>
        <w:spacing w:after="4"/>
        <w:rPr>
          <w:i/>
        </w:rPr>
      </w:pPr>
      <w:r>
        <w:rPr>
          <w:i/>
        </w:rPr>
        <w:t>Tabell 1</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2596"/>
        <w:gridCol w:w="1817"/>
        <w:gridCol w:w="1817"/>
        <w:gridCol w:w="1817"/>
        <w:gridCol w:w="1817"/>
      </w:tblGrid>
      <w:tr w:rsidR="00205E5E" w:rsidTr="00736021">
        <w:tc>
          <w:tcPr>
            <w:tcW w:w="2596" w:type="dxa"/>
            <w:shd w:val="clear" w:color="auto" w:fill="FFFFFF"/>
            <w:noWrap/>
            <w:tcMar>
              <w:left w:w="20" w:type="dxa"/>
              <w:right w:w="20" w:type="dxa"/>
            </w:tcMar>
          </w:tcPr>
          <w:p w:rsidR="00205E5E" w:rsidRDefault="00205E5E" w:rsidP="00736021">
            <w:pPr>
              <w:spacing w:after="8"/>
            </w:pPr>
            <w:r>
              <w:t>Øvre temperaturgrense</w:t>
            </w:r>
          </w:p>
        </w:tc>
        <w:tc>
          <w:tcPr>
            <w:tcW w:w="1817" w:type="dxa"/>
            <w:shd w:val="clear" w:color="auto" w:fill="FFFFFF"/>
            <w:noWrap/>
            <w:tcMar>
              <w:left w:w="20" w:type="dxa"/>
              <w:right w:w="20" w:type="dxa"/>
            </w:tcMar>
          </w:tcPr>
          <w:p w:rsidR="00205E5E" w:rsidRDefault="00205E5E" w:rsidP="00736021">
            <w:pPr>
              <w:spacing w:after="8"/>
              <w:jc w:val="right"/>
            </w:pPr>
            <w:r>
              <w:t>30 °C</w:t>
            </w:r>
          </w:p>
        </w:tc>
        <w:tc>
          <w:tcPr>
            <w:tcW w:w="1817" w:type="dxa"/>
            <w:shd w:val="clear" w:color="auto" w:fill="FFFFFF"/>
            <w:noWrap/>
            <w:tcMar>
              <w:left w:w="20" w:type="dxa"/>
              <w:right w:w="20" w:type="dxa"/>
            </w:tcMar>
          </w:tcPr>
          <w:p w:rsidR="00205E5E" w:rsidRDefault="00205E5E" w:rsidP="00736021">
            <w:pPr>
              <w:spacing w:after="8"/>
              <w:jc w:val="right"/>
            </w:pPr>
            <w:r>
              <w:t>40 °C</w:t>
            </w:r>
          </w:p>
        </w:tc>
        <w:tc>
          <w:tcPr>
            <w:tcW w:w="1817" w:type="dxa"/>
            <w:shd w:val="clear" w:color="auto" w:fill="FFFFFF"/>
            <w:noWrap/>
            <w:tcMar>
              <w:left w:w="20" w:type="dxa"/>
              <w:right w:w="20" w:type="dxa"/>
            </w:tcMar>
          </w:tcPr>
          <w:p w:rsidR="00205E5E" w:rsidRDefault="00205E5E" w:rsidP="00736021">
            <w:pPr>
              <w:spacing w:after="8"/>
              <w:jc w:val="right"/>
            </w:pPr>
            <w:r>
              <w:t>55 °C</w:t>
            </w:r>
          </w:p>
        </w:tc>
        <w:tc>
          <w:tcPr>
            <w:tcW w:w="1817" w:type="dxa"/>
            <w:shd w:val="clear" w:color="auto" w:fill="FFFFFF"/>
            <w:noWrap/>
            <w:tcMar>
              <w:left w:w="20" w:type="dxa"/>
              <w:right w:w="20" w:type="dxa"/>
            </w:tcMar>
          </w:tcPr>
          <w:p w:rsidR="00205E5E" w:rsidRDefault="00205E5E" w:rsidP="00736021">
            <w:pPr>
              <w:spacing w:after="8"/>
              <w:jc w:val="right"/>
            </w:pPr>
            <w:r>
              <w:t>70 °C</w:t>
            </w:r>
          </w:p>
        </w:tc>
      </w:tr>
      <w:tr w:rsidR="00205E5E" w:rsidTr="00736021">
        <w:tc>
          <w:tcPr>
            <w:tcW w:w="2596" w:type="dxa"/>
            <w:shd w:val="clear" w:color="auto" w:fill="FFFFFF"/>
            <w:noWrap/>
            <w:tcMar>
              <w:left w:w="20" w:type="dxa"/>
              <w:right w:w="20" w:type="dxa"/>
            </w:tcMar>
          </w:tcPr>
          <w:p w:rsidR="00205E5E" w:rsidRDefault="00205E5E" w:rsidP="00736021">
            <w:pPr>
              <w:spacing w:after="8"/>
            </w:pPr>
            <w:r>
              <w:t>Nedre temperaturgrense</w:t>
            </w:r>
          </w:p>
        </w:tc>
        <w:tc>
          <w:tcPr>
            <w:tcW w:w="1817" w:type="dxa"/>
            <w:shd w:val="clear" w:color="auto" w:fill="FFFFFF"/>
            <w:noWrap/>
            <w:tcMar>
              <w:left w:w="20" w:type="dxa"/>
              <w:right w:w="20" w:type="dxa"/>
            </w:tcMar>
          </w:tcPr>
          <w:p w:rsidR="00205E5E" w:rsidRDefault="00205E5E" w:rsidP="00736021">
            <w:pPr>
              <w:spacing w:after="8"/>
              <w:jc w:val="right"/>
            </w:pPr>
            <w:r>
              <w:t>5 °C</w:t>
            </w:r>
          </w:p>
        </w:tc>
        <w:tc>
          <w:tcPr>
            <w:tcW w:w="1817" w:type="dxa"/>
            <w:shd w:val="clear" w:color="auto" w:fill="FFFFFF"/>
            <w:noWrap/>
            <w:tcMar>
              <w:left w:w="20" w:type="dxa"/>
              <w:right w:w="20" w:type="dxa"/>
            </w:tcMar>
          </w:tcPr>
          <w:p w:rsidR="00205E5E" w:rsidRDefault="00205E5E" w:rsidP="00736021">
            <w:pPr>
              <w:spacing w:after="8"/>
              <w:jc w:val="right"/>
            </w:pPr>
            <w:r>
              <w:t>-10 °C</w:t>
            </w:r>
          </w:p>
        </w:tc>
        <w:tc>
          <w:tcPr>
            <w:tcW w:w="1817" w:type="dxa"/>
            <w:shd w:val="clear" w:color="auto" w:fill="FFFFFF"/>
            <w:noWrap/>
            <w:tcMar>
              <w:left w:w="20" w:type="dxa"/>
              <w:right w:w="20" w:type="dxa"/>
            </w:tcMar>
          </w:tcPr>
          <w:p w:rsidR="00205E5E" w:rsidRDefault="00205E5E" w:rsidP="00736021">
            <w:pPr>
              <w:spacing w:after="8"/>
              <w:jc w:val="right"/>
            </w:pPr>
            <w:r>
              <w:t>-25 °C</w:t>
            </w:r>
          </w:p>
        </w:tc>
        <w:tc>
          <w:tcPr>
            <w:tcW w:w="1817" w:type="dxa"/>
            <w:shd w:val="clear" w:color="auto" w:fill="FFFFFF"/>
            <w:noWrap/>
            <w:tcMar>
              <w:left w:w="20" w:type="dxa"/>
              <w:right w:w="20" w:type="dxa"/>
            </w:tcMar>
          </w:tcPr>
          <w:p w:rsidR="00205E5E" w:rsidRDefault="00205E5E" w:rsidP="00736021">
            <w:pPr>
              <w:spacing w:after="8"/>
              <w:jc w:val="right"/>
            </w:pPr>
            <w:r>
              <w:t>-40 °C</w:t>
            </w:r>
          </w:p>
        </w:tc>
      </w:tr>
    </w:tbl>
    <w:p w:rsidR="00205E5E" w:rsidRDefault="00205E5E" w:rsidP="00205E5E">
      <w:pPr>
        <w:spacing w:after="8"/>
      </w:pPr>
      <w:bookmarkStart w:id="21" w:name="PARAGRAF_11"/>
      <w:bookmarkEnd w:id="19"/>
    </w:p>
    <w:p w:rsidR="00205E5E" w:rsidRDefault="00205E5E" w:rsidP="00205E5E"/>
    <w:p w:rsidR="00205E5E" w:rsidRDefault="00205E5E" w:rsidP="00205E5E">
      <w:pPr>
        <w:rPr>
          <w:b/>
        </w:rPr>
      </w:pPr>
      <w:bookmarkStart w:id="22" w:name="§11"/>
      <w:bookmarkEnd w:id="22"/>
      <w:r>
        <w:rPr>
          <w:b/>
        </w:rPr>
        <w:t>§ 11.</w:t>
      </w:r>
      <w:r>
        <w:t xml:space="preserve"> </w:t>
      </w:r>
      <w:r>
        <w:rPr>
          <w:b/>
          <w:i/>
        </w:rPr>
        <w:t>Elektromagnetiske miljø</w:t>
      </w:r>
    </w:p>
    <w:p w:rsidR="00205E5E" w:rsidRDefault="00205E5E" w:rsidP="00205E5E">
      <w:pPr>
        <w:spacing w:before="120"/>
        <w:ind w:firstLine="180"/>
      </w:pPr>
      <w:r>
        <w:t>Det elektromagnetiske miljø klassifiseres i klasse E1, E2 eller E3 som beskrevet nedenfor i tabell 2, med mindre annet er fastsatt i avsnitt II.</w:t>
      </w:r>
    </w:p>
    <w:p w:rsidR="00205E5E" w:rsidRDefault="00205E5E" w:rsidP="00205E5E">
      <w:pPr>
        <w:spacing w:before="120"/>
        <w:ind w:firstLine="180"/>
        <w:rPr>
          <w:sz w:val="6"/>
        </w:rPr>
      </w:pPr>
    </w:p>
    <w:p w:rsidR="00205E5E" w:rsidRDefault="00205E5E" w:rsidP="00205E5E">
      <w:pPr>
        <w:spacing w:after="4"/>
        <w:rPr>
          <w:i/>
        </w:rPr>
      </w:pPr>
      <w:r>
        <w:rPr>
          <w:i/>
        </w:rPr>
        <w:t>Tabell 2</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298"/>
        <w:gridCol w:w="8568"/>
      </w:tblGrid>
      <w:tr w:rsidR="00205E5E" w:rsidTr="00736021">
        <w:tc>
          <w:tcPr>
            <w:tcW w:w="1298" w:type="dxa"/>
            <w:shd w:val="clear" w:color="auto" w:fill="FFFFFF"/>
            <w:noWrap/>
            <w:tcMar>
              <w:left w:w="20" w:type="dxa"/>
              <w:right w:w="20" w:type="dxa"/>
            </w:tcMar>
          </w:tcPr>
          <w:p w:rsidR="00205E5E" w:rsidRDefault="00205E5E" w:rsidP="00736021">
            <w:pPr>
              <w:spacing w:after="8"/>
            </w:pPr>
            <w:r>
              <w:t>E1</w:t>
            </w:r>
          </w:p>
        </w:tc>
        <w:tc>
          <w:tcPr>
            <w:tcW w:w="8568" w:type="dxa"/>
            <w:shd w:val="clear" w:color="auto" w:fill="FFFFFF"/>
            <w:noWrap/>
            <w:tcMar>
              <w:left w:w="20" w:type="dxa"/>
              <w:right w:w="20" w:type="dxa"/>
            </w:tcMar>
          </w:tcPr>
          <w:p w:rsidR="00205E5E" w:rsidRDefault="00205E5E" w:rsidP="00736021">
            <w:pPr>
              <w:spacing w:after="8"/>
            </w:pPr>
            <w:r>
              <w:t xml:space="preserve">Denne klassen omfatter catchvekter som anvendes på steder </w:t>
            </w:r>
            <w:proofErr w:type="gramStart"/>
            <w:r>
              <w:t>med  elektromagnetiske</w:t>
            </w:r>
            <w:proofErr w:type="gramEnd"/>
            <w:r>
              <w:t xml:space="preserve"> forstyrrelser tilsvarende dem man kan finne i bygninger som  brukes til bolig- og handelsformål, og lette industribygninger.</w:t>
            </w:r>
          </w:p>
        </w:tc>
      </w:tr>
      <w:tr w:rsidR="00205E5E" w:rsidTr="00736021">
        <w:tc>
          <w:tcPr>
            <w:tcW w:w="1298" w:type="dxa"/>
            <w:shd w:val="clear" w:color="auto" w:fill="FFFFFF"/>
            <w:noWrap/>
            <w:tcMar>
              <w:left w:w="20" w:type="dxa"/>
              <w:right w:w="20" w:type="dxa"/>
            </w:tcMar>
          </w:tcPr>
          <w:p w:rsidR="00205E5E" w:rsidRDefault="00205E5E" w:rsidP="00736021">
            <w:pPr>
              <w:spacing w:after="8"/>
            </w:pPr>
            <w:r>
              <w:t>E2</w:t>
            </w:r>
          </w:p>
        </w:tc>
        <w:tc>
          <w:tcPr>
            <w:tcW w:w="8568" w:type="dxa"/>
            <w:shd w:val="clear" w:color="auto" w:fill="FFFFFF"/>
            <w:noWrap/>
            <w:tcMar>
              <w:left w:w="20" w:type="dxa"/>
              <w:right w:w="20" w:type="dxa"/>
            </w:tcMar>
          </w:tcPr>
          <w:p w:rsidR="00205E5E" w:rsidRDefault="00205E5E" w:rsidP="00736021">
            <w:pPr>
              <w:spacing w:after="8"/>
            </w:pPr>
            <w:r>
              <w:t xml:space="preserve">Denne klassen omfatter catchvekter som anvendes på steder </w:t>
            </w:r>
            <w:proofErr w:type="gramStart"/>
            <w:r>
              <w:t>med  elektromagnetiske</w:t>
            </w:r>
            <w:proofErr w:type="gramEnd"/>
            <w:r>
              <w:t xml:space="preserve"> forstyrrelser tilsvarende dem man kan finne i andre  industribygg.</w:t>
            </w:r>
          </w:p>
        </w:tc>
      </w:tr>
      <w:tr w:rsidR="00205E5E" w:rsidTr="00736021">
        <w:tc>
          <w:tcPr>
            <w:tcW w:w="1298" w:type="dxa"/>
            <w:shd w:val="clear" w:color="auto" w:fill="FFFFFF"/>
            <w:noWrap/>
            <w:tcMar>
              <w:left w:w="20" w:type="dxa"/>
              <w:right w:w="20" w:type="dxa"/>
            </w:tcMar>
          </w:tcPr>
          <w:p w:rsidR="00205E5E" w:rsidRDefault="00205E5E" w:rsidP="00736021">
            <w:pPr>
              <w:spacing w:after="8"/>
            </w:pPr>
            <w:r>
              <w:t>E3</w:t>
            </w:r>
          </w:p>
        </w:tc>
        <w:tc>
          <w:tcPr>
            <w:tcW w:w="8568" w:type="dxa"/>
            <w:shd w:val="clear" w:color="auto" w:fill="FFFFFF"/>
            <w:noWrap/>
            <w:tcMar>
              <w:left w:w="20" w:type="dxa"/>
              <w:right w:w="20" w:type="dxa"/>
            </w:tcMar>
          </w:tcPr>
          <w:p w:rsidR="00205E5E" w:rsidRDefault="00205E5E" w:rsidP="00736021">
            <w:pPr>
              <w:spacing w:after="8"/>
            </w:pPr>
            <w:r>
              <w:t xml:space="preserve">Denne klassen omfatter catchvekter som får strøm fra batteriet i </w:t>
            </w:r>
            <w:proofErr w:type="gramStart"/>
            <w:r>
              <w:t>et  kjøretøy</w:t>
            </w:r>
            <w:proofErr w:type="gramEnd"/>
            <w:r>
              <w:t xml:space="preserve">. Slike vekter skal oppfylle kravene for E2 samt følgende </w:t>
            </w:r>
            <w:proofErr w:type="gramStart"/>
            <w:r>
              <w:t xml:space="preserve">tilleggskrav:  </w:t>
            </w:r>
            <w:r>
              <w:br/>
              <w:t xml:space="preserve"> </w:t>
            </w:r>
            <w:proofErr w:type="gramEnd"/>
            <w:r>
              <w:t xml:space="preserve"> spenningsfall forårsaket av oppladning av startkretsen i  forbrenningsmotorer og spenningstransienter ved frakopling av utladet batteri  mens motoren er i drift.</w:t>
            </w:r>
          </w:p>
        </w:tc>
      </w:tr>
    </w:tbl>
    <w:p w:rsidR="00205E5E" w:rsidRDefault="00205E5E" w:rsidP="00205E5E">
      <w:pPr>
        <w:spacing w:after="8"/>
        <w:rPr>
          <w:sz w:val="6"/>
        </w:rPr>
      </w:pPr>
    </w:p>
    <w:p w:rsidR="00205E5E" w:rsidRDefault="00205E5E" w:rsidP="00205E5E">
      <w:pPr>
        <w:spacing w:before="120"/>
        <w:ind w:firstLine="180"/>
      </w:pPr>
      <w:r>
        <w:t>Det skal tas hensyn til følgende påvirkende størrelse i forbindelse med elektromagnetiske miljøer: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lastRenderedPageBreak/>
              <w:t>a</w:t>
            </w:r>
            <w:proofErr w:type="gramEnd"/>
            <w:r>
              <w:t>)</w:t>
            </w:r>
          </w:p>
        </w:tc>
        <w:tc>
          <w:tcPr>
            <w:tcW w:w="9506" w:type="dxa"/>
            <w:shd w:val="clear" w:color="auto" w:fill="FFFFFF"/>
            <w:noWrap/>
            <w:tcMar>
              <w:left w:w="20" w:type="dxa"/>
              <w:right w:w="80" w:type="dxa"/>
            </w:tcMar>
          </w:tcPr>
          <w:p w:rsidR="00205E5E" w:rsidRDefault="00205E5E" w:rsidP="00736021">
            <w:r>
              <w:t>Spenningsavbrudd</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Kortvarig redusert spenning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r>
              <w:t>Spenningstransienter på forsyningsledninger og/eller signalledninger, elektrostatiske utladninger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d)</w:t>
            </w:r>
          </w:p>
        </w:tc>
        <w:tc>
          <w:tcPr>
            <w:tcW w:w="9506" w:type="dxa"/>
            <w:shd w:val="clear" w:color="auto" w:fill="FFFFFF"/>
            <w:noWrap/>
            <w:tcMar>
              <w:left w:w="20" w:type="dxa"/>
              <w:right w:w="80" w:type="dxa"/>
            </w:tcMar>
          </w:tcPr>
          <w:p w:rsidR="00205E5E" w:rsidRDefault="00205E5E" w:rsidP="00736021">
            <w:r>
              <w:t>Høyfrekvente elektromagnetisk felt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e</w:t>
            </w:r>
            <w:proofErr w:type="gramEnd"/>
            <w:r>
              <w:t>)</w:t>
            </w:r>
          </w:p>
        </w:tc>
        <w:tc>
          <w:tcPr>
            <w:tcW w:w="9506" w:type="dxa"/>
            <w:shd w:val="clear" w:color="auto" w:fill="FFFFFF"/>
            <w:noWrap/>
            <w:tcMar>
              <w:left w:w="20" w:type="dxa"/>
              <w:right w:w="80" w:type="dxa"/>
            </w:tcMar>
          </w:tcPr>
          <w:p w:rsidR="00205E5E" w:rsidRDefault="00205E5E" w:rsidP="00736021">
            <w:r>
              <w:t>Overførte høyfrekvente elektromagnetiske felt på forsyningsledninger og/eller signalledninger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f</w:t>
            </w:r>
            <w:proofErr w:type="gramEnd"/>
            <w:r>
              <w:t>)</w:t>
            </w:r>
          </w:p>
        </w:tc>
        <w:tc>
          <w:tcPr>
            <w:tcW w:w="9506" w:type="dxa"/>
            <w:shd w:val="clear" w:color="auto" w:fill="FFFFFF"/>
            <w:noWrap/>
            <w:tcMar>
              <w:left w:w="20" w:type="dxa"/>
              <w:right w:w="80" w:type="dxa"/>
            </w:tcMar>
          </w:tcPr>
          <w:p w:rsidR="00205E5E" w:rsidRDefault="00205E5E" w:rsidP="00736021">
            <w:r>
              <w:t>Overspenning på forsyningsledninger og/eller signalledninger.</w:t>
            </w:r>
          </w:p>
        </w:tc>
      </w:tr>
    </w:tbl>
    <w:p w:rsidR="00205E5E" w:rsidRDefault="00205E5E" w:rsidP="00205E5E">
      <w:pPr>
        <w:rPr>
          <w:sz w:val="6"/>
        </w:rPr>
      </w:pPr>
    </w:p>
    <w:p w:rsidR="00205E5E" w:rsidRDefault="00205E5E" w:rsidP="00205E5E">
      <w:pPr>
        <w:spacing w:before="120"/>
        <w:ind w:firstLine="180"/>
      </w:pPr>
      <w:r>
        <w:t>Det skal tas hensyn til følgende andre påvirkende størrelser når det er hensiktsmessig: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Spenningsvariasjon</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Variasjoner i nettfrekvens</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proofErr w:type="spellStart"/>
            <w:r>
              <w:t>Nettgenererte</w:t>
            </w:r>
            <w:proofErr w:type="spellEnd"/>
            <w:r>
              <w:t xml:space="preserve"> magnetiske felt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d)</w:t>
            </w:r>
          </w:p>
        </w:tc>
        <w:tc>
          <w:tcPr>
            <w:tcW w:w="9506" w:type="dxa"/>
            <w:shd w:val="clear" w:color="auto" w:fill="FFFFFF"/>
            <w:noWrap/>
            <w:tcMar>
              <w:left w:w="20" w:type="dxa"/>
              <w:right w:w="80" w:type="dxa"/>
            </w:tcMar>
          </w:tcPr>
          <w:p w:rsidR="00205E5E" w:rsidRDefault="00205E5E" w:rsidP="00736021">
            <w:r>
              <w:t>Andre størrelser som kan påvirke catchvektens nøyaktighet i vesentlig grad.</w:t>
            </w:r>
          </w:p>
        </w:tc>
      </w:tr>
    </w:tbl>
    <w:p w:rsidR="00205E5E" w:rsidRDefault="00205E5E" w:rsidP="00205E5E">
      <w:bookmarkStart w:id="23" w:name="PARAGRAF_12"/>
      <w:bookmarkEnd w:id="21"/>
    </w:p>
    <w:p w:rsidR="00205E5E" w:rsidRDefault="00205E5E" w:rsidP="00205E5E"/>
    <w:p w:rsidR="00205E5E" w:rsidRDefault="00205E5E" w:rsidP="00205E5E">
      <w:pPr>
        <w:rPr>
          <w:b/>
        </w:rPr>
      </w:pPr>
      <w:bookmarkStart w:id="24" w:name="§12"/>
      <w:bookmarkEnd w:id="24"/>
      <w:r>
        <w:rPr>
          <w:b/>
        </w:rPr>
        <w:t>§ 12.</w:t>
      </w:r>
      <w:r>
        <w:t xml:space="preserve"> </w:t>
      </w:r>
      <w:r>
        <w:rPr>
          <w:b/>
          <w:i/>
        </w:rPr>
        <w:t>Grunnleggende regler for forsøk og bestemmelse av feil</w:t>
      </w:r>
    </w:p>
    <w:p w:rsidR="00205E5E" w:rsidRDefault="00205E5E" w:rsidP="00205E5E">
      <w:pPr>
        <w:spacing w:before="120"/>
        <w:ind w:firstLine="180"/>
      </w:pPr>
      <w:r>
        <w:t xml:space="preserve">De grunnleggende kravene angitt i </w:t>
      </w:r>
      <w:hyperlink r:id="rId17" w:anchor="reference/forskrift/2007-12-21-1742/§8" w:history="1">
        <w:r>
          <w:t>§ 8</w:t>
        </w:r>
      </w:hyperlink>
      <w:r>
        <w:t xml:space="preserve"> skal kontrolleres for hver relevant påvirkende størrelse. Med mindre annet er angitt i avsnitt II, gjelder disse grunnleggende kravene når hver påvirkende størrelse påføres og virkningen av den vurderes separat, idet alle andre påvirkende størrelser holdes relativt konstant ved sine referanseverdier.</w:t>
      </w:r>
    </w:p>
    <w:p w:rsidR="00205E5E" w:rsidRDefault="00205E5E" w:rsidP="00205E5E">
      <w:pPr>
        <w:spacing w:before="120"/>
        <w:ind w:firstLine="180"/>
      </w:pPr>
      <w:r>
        <w:t>Måleforsøk skal utføres under og etter påføring av den påvirkende størrelsen, alt etter hva som tilsvarer normal driftsstatus for catchvekten når denne påvirkende størrelsen kan antas å opptre.</w:t>
      </w:r>
      <w:bookmarkStart w:id="25" w:name="PARAGRAF_13"/>
      <w:bookmarkEnd w:id="23"/>
    </w:p>
    <w:p w:rsidR="00205E5E" w:rsidRDefault="00205E5E" w:rsidP="00205E5E"/>
    <w:p w:rsidR="00205E5E" w:rsidRDefault="00205E5E" w:rsidP="00205E5E">
      <w:pPr>
        <w:rPr>
          <w:b/>
        </w:rPr>
      </w:pPr>
      <w:bookmarkStart w:id="26" w:name="§13"/>
      <w:bookmarkEnd w:id="26"/>
      <w:r>
        <w:rPr>
          <w:b/>
        </w:rPr>
        <w:t>§ 13.</w:t>
      </w:r>
      <w:r>
        <w:t xml:space="preserve"> </w:t>
      </w:r>
      <w:r>
        <w:rPr>
          <w:b/>
          <w:i/>
        </w:rPr>
        <w:t>Luftfuktighet</w:t>
      </w:r>
    </w:p>
    <w:p w:rsidR="00205E5E" w:rsidRDefault="00205E5E" w:rsidP="00205E5E">
      <w:pPr>
        <w:spacing w:before="120"/>
        <w:ind w:firstLine="180"/>
      </w:pPr>
      <w:r>
        <w:t>Avhengig av det klimatiske miljø catchvekten er ment brukt i, kan det mest hensiktsmessige testforløp enten være stasjonær fuktig varme (ikke-kondenserende), eller syklisk fuktig varme (kondenserende).</w:t>
      </w:r>
    </w:p>
    <w:p w:rsidR="00205E5E" w:rsidRDefault="00205E5E" w:rsidP="00205E5E">
      <w:pPr>
        <w:spacing w:before="120"/>
        <w:ind w:firstLine="180"/>
      </w:pPr>
      <w:r>
        <w:t>Testforløp med syklisk varierende fuktighet er hensiktsmessig dersom kondensering er viktig, eller dersom dampgjennomtrengning vil bli fremskyndet av ventilasjon. Ved forhold der ikke-kondenserende luftfuktighet er viktig, er testforløp med stasjonær fuktig varme hensiktsmessig.</w:t>
      </w:r>
      <w:bookmarkStart w:id="27" w:name="PARAGRAF_14"/>
      <w:bookmarkEnd w:id="25"/>
    </w:p>
    <w:p w:rsidR="00205E5E" w:rsidRDefault="00205E5E" w:rsidP="00205E5E"/>
    <w:p w:rsidR="00205E5E" w:rsidRDefault="00205E5E" w:rsidP="00205E5E">
      <w:pPr>
        <w:rPr>
          <w:b/>
        </w:rPr>
      </w:pPr>
      <w:bookmarkStart w:id="28" w:name="§14"/>
      <w:bookmarkEnd w:id="28"/>
      <w:r>
        <w:rPr>
          <w:b/>
        </w:rPr>
        <w:t>§ 14.</w:t>
      </w:r>
      <w:r>
        <w:t xml:space="preserve"> </w:t>
      </w:r>
      <w:proofErr w:type="spellStart"/>
      <w:r>
        <w:rPr>
          <w:b/>
          <w:i/>
        </w:rPr>
        <w:t>Reproduserbarhet</w:t>
      </w:r>
      <w:proofErr w:type="spellEnd"/>
    </w:p>
    <w:p w:rsidR="00205E5E" w:rsidRDefault="00205E5E" w:rsidP="00205E5E">
      <w:pPr>
        <w:spacing w:before="120"/>
        <w:ind w:firstLine="180"/>
      </w:pPr>
      <w:r>
        <w:t>Dersom catchvekten brukes til å måle den samme målestørrelsen, men på ulike steder og av ulike brukere, skal resultatene av påfølgende målinger være i nært samsvar. Variasjonen i måleresultatene skal være liten i forhold til maksimal tillatt målefeil.</w:t>
      </w:r>
      <w:bookmarkStart w:id="29" w:name="PARAGRAF_15"/>
      <w:bookmarkEnd w:id="27"/>
    </w:p>
    <w:p w:rsidR="00205E5E" w:rsidRDefault="00205E5E" w:rsidP="00205E5E"/>
    <w:p w:rsidR="00205E5E" w:rsidRDefault="00205E5E" w:rsidP="00205E5E">
      <w:pPr>
        <w:rPr>
          <w:b/>
        </w:rPr>
      </w:pPr>
      <w:bookmarkStart w:id="30" w:name="§15"/>
      <w:bookmarkEnd w:id="30"/>
      <w:r>
        <w:rPr>
          <w:b/>
        </w:rPr>
        <w:t>§ 15.</w:t>
      </w:r>
      <w:r>
        <w:t xml:space="preserve"> </w:t>
      </w:r>
      <w:proofErr w:type="spellStart"/>
      <w:r>
        <w:rPr>
          <w:b/>
          <w:i/>
        </w:rPr>
        <w:t>Repeterbarhet</w:t>
      </w:r>
      <w:proofErr w:type="spellEnd"/>
    </w:p>
    <w:p w:rsidR="00205E5E" w:rsidRDefault="00205E5E" w:rsidP="00205E5E">
      <w:pPr>
        <w:spacing w:before="120"/>
        <w:ind w:firstLine="180"/>
      </w:pPr>
      <w:r>
        <w:t>Dersom målestørrelsen har samme verdi og måleforholdene er uendret, skal de påfølgende måleresultatene stemme godt overens. Variasjonen i måleresultatene skal være liten i forhold til maksimale tillatte målefeil.</w:t>
      </w:r>
      <w:bookmarkStart w:id="31" w:name="PARAGRAF_16"/>
      <w:bookmarkEnd w:id="29"/>
    </w:p>
    <w:p w:rsidR="00205E5E" w:rsidRDefault="00205E5E" w:rsidP="00205E5E"/>
    <w:p w:rsidR="00205E5E" w:rsidRDefault="00205E5E" w:rsidP="00205E5E">
      <w:pPr>
        <w:rPr>
          <w:b/>
        </w:rPr>
      </w:pPr>
      <w:bookmarkStart w:id="32" w:name="§16"/>
      <w:bookmarkEnd w:id="32"/>
      <w:r>
        <w:rPr>
          <w:b/>
        </w:rPr>
        <w:t>§ 16.</w:t>
      </w:r>
      <w:r>
        <w:t xml:space="preserve"> </w:t>
      </w:r>
      <w:r>
        <w:rPr>
          <w:b/>
          <w:i/>
        </w:rPr>
        <w:t>Oppløsning og følsomhet</w:t>
      </w:r>
    </w:p>
    <w:p w:rsidR="00205E5E" w:rsidRDefault="00205E5E" w:rsidP="00205E5E">
      <w:pPr>
        <w:spacing w:before="120"/>
        <w:ind w:firstLine="180"/>
      </w:pPr>
      <w:r>
        <w:t>En catchvekt skal være tilstrekkelig følsom, og skal ha tilstrekkelig oppløsning tilpasset måleoppgaven.</w:t>
      </w:r>
      <w:bookmarkStart w:id="33" w:name="PARAGRAF_17"/>
      <w:bookmarkEnd w:id="31"/>
    </w:p>
    <w:p w:rsidR="00205E5E" w:rsidRDefault="00205E5E" w:rsidP="00205E5E"/>
    <w:p w:rsidR="00205E5E" w:rsidRDefault="00205E5E" w:rsidP="00205E5E">
      <w:pPr>
        <w:rPr>
          <w:b/>
        </w:rPr>
      </w:pPr>
      <w:bookmarkStart w:id="34" w:name="§17"/>
      <w:bookmarkEnd w:id="34"/>
      <w:r>
        <w:rPr>
          <w:b/>
        </w:rPr>
        <w:t>§ 17.</w:t>
      </w:r>
      <w:r>
        <w:t xml:space="preserve"> </w:t>
      </w:r>
      <w:r>
        <w:rPr>
          <w:b/>
          <w:i/>
        </w:rPr>
        <w:t>Holdbarhet</w:t>
      </w:r>
    </w:p>
    <w:p w:rsidR="00205E5E" w:rsidRDefault="00205E5E" w:rsidP="00205E5E">
      <w:pPr>
        <w:spacing w:before="120"/>
        <w:ind w:firstLine="180"/>
      </w:pPr>
      <w:r>
        <w:t>En catchvekt skal være konstruert slik at dens måletekniske egenskaper er tilstrekkelig stabile i et tidsrom som produsenten fastsetter, forutsatt at det monteres, vedlikeholdes og brukes korrekt i samsvar med produsentens anvisninger og i det miljø det er bestemt for.</w:t>
      </w:r>
      <w:bookmarkStart w:id="35" w:name="PARAGRAF_18"/>
      <w:bookmarkEnd w:id="33"/>
    </w:p>
    <w:p w:rsidR="00205E5E" w:rsidRDefault="00205E5E" w:rsidP="00205E5E"/>
    <w:p w:rsidR="00205E5E" w:rsidRDefault="00205E5E" w:rsidP="00205E5E">
      <w:pPr>
        <w:rPr>
          <w:b/>
        </w:rPr>
      </w:pPr>
      <w:bookmarkStart w:id="36" w:name="§18"/>
      <w:bookmarkEnd w:id="36"/>
      <w:r>
        <w:rPr>
          <w:b/>
        </w:rPr>
        <w:t>§ 18.</w:t>
      </w:r>
      <w:r>
        <w:t xml:space="preserve"> </w:t>
      </w:r>
      <w:r>
        <w:rPr>
          <w:b/>
          <w:i/>
        </w:rPr>
        <w:t>Pålitelighet</w:t>
      </w:r>
    </w:p>
    <w:p w:rsidR="00205E5E" w:rsidRDefault="00205E5E" w:rsidP="00205E5E">
      <w:pPr>
        <w:spacing w:before="120"/>
        <w:ind w:firstLine="180"/>
      </w:pPr>
      <w:r>
        <w:t>En catchvekt skal konstrueres slik at virkningen av en funksjonsfeil som medfører et unøyaktig måleresultat, reduseres så langt som mulig, med mindre en slik feil er åpenbar.</w:t>
      </w:r>
      <w:bookmarkStart w:id="37" w:name="PARAGRAF_19"/>
      <w:bookmarkEnd w:id="35"/>
    </w:p>
    <w:p w:rsidR="00205E5E" w:rsidRDefault="00205E5E" w:rsidP="00205E5E"/>
    <w:p w:rsidR="00205E5E" w:rsidRDefault="00205E5E" w:rsidP="00205E5E">
      <w:pPr>
        <w:rPr>
          <w:b/>
        </w:rPr>
      </w:pPr>
      <w:bookmarkStart w:id="38" w:name="§19"/>
      <w:bookmarkEnd w:id="38"/>
      <w:r>
        <w:rPr>
          <w:b/>
        </w:rPr>
        <w:t>§ 19.</w:t>
      </w:r>
      <w:r>
        <w:t xml:space="preserve"> </w:t>
      </w:r>
      <w:r>
        <w:rPr>
          <w:b/>
          <w:i/>
        </w:rPr>
        <w:t>Egnethet</w:t>
      </w:r>
    </w:p>
    <w:p w:rsidR="00205E5E" w:rsidRDefault="00205E5E" w:rsidP="00205E5E">
      <w:pPr>
        <w:spacing w:before="120"/>
        <w:ind w:firstLine="180"/>
      </w:pPr>
      <w:r>
        <w:t>En catchvekt skal være: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Egnet til den påtenkte bruk, idet det tas hensyn til de i praksis forekommende driftsbetingelser, og det skal ikke stilles urimelige krav til brukeren for å oppnå et korrekt måleresultat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Robust og framstilt av materialer som er velegnet til de påtenkte driftsbetingelser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r>
              <w:t>Konstruert slik at målefunksjonen skal kunne kontrolleres etter at catchvekten er markedsført og tatt i bruk. Om nødvendig skal særskilt utstyr eller programvare til denne kontrollen være en del av vekten. Testprosedyren skal være beskrevet i bruksanvisningen</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lastRenderedPageBreak/>
              <w:t>d)</w:t>
            </w:r>
          </w:p>
        </w:tc>
        <w:tc>
          <w:tcPr>
            <w:tcW w:w="9506" w:type="dxa"/>
            <w:shd w:val="clear" w:color="auto" w:fill="FFFFFF"/>
            <w:noWrap/>
            <w:tcMar>
              <w:left w:w="20" w:type="dxa"/>
              <w:right w:w="80" w:type="dxa"/>
            </w:tcMar>
          </w:tcPr>
          <w:p w:rsidR="00205E5E" w:rsidRDefault="00205E5E" w:rsidP="00736021">
            <w:r>
              <w:t>Ufølsom overfor små variasjoner i målestørrelsens verdi, eller den skal reagere på en hensiktsmessig måte dersom vekten er beregnet til måling av verdier av målestørrelsen som er konstant over tid.</w:t>
            </w:r>
          </w:p>
        </w:tc>
      </w:tr>
    </w:tbl>
    <w:p w:rsidR="00205E5E" w:rsidRDefault="00205E5E" w:rsidP="00205E5E">
      <w:pPr>
        <w:rPr>
          <w:sz w:val="6"/>
        </w:rPr>
      </w:pPr>
    </w:p>
    <w:p w:rsidR="00205E5E" w:rsidRDefault="00205E5E" w:rsidP="00205E5E">
      <w:pPr>
        <w:spacing w:before="120"/>
        <w:ind w:firstLine="180"/>
      </w:pPr>
      <w:r>
        <w:t>En catchvekt skal ikke være av en slik art at det lett kan brukes til bedrageri, og muligheten for utilsiktet feilbruk skal være minst mulig.</w:t>
      </w:r>
    </w:p>
    <w:p w:rsidR="00205E5E" w:rsidRDefault="00205E5E" w:rsidP="00205E5E">
      <w:pPr>
        <w:spacing w:before="120"/>
        <w:ind w:firstLine="180"/>
      </w:pPr>
      <w:r>
        <w:t>Dersom en catchvekt har tilknyttet programvare med andre funksjoner enn målefunksjonen, skal programvaren som har avgjørende betydning for målefunksjonen, kunne identifiseres, og den skal ikke utsettes for forstyrrende påvirkning fra de tilknyttede programvarefunksjonene.</w:t>
      </w:r>
      <w:bookmarkStart w:id="39" w:name="PARAGRAF_20"/>
      <w:bookmarkEnd w:id="37"/>
    </w:p>
    <w:p w:rsidR="00205E5E" w:rsidRDefault="00205E5E" w:rsidP="00205E5E"/>
    <w:p w:rsidR="00205E5E" w:rsidRDefault="00205E5E" w:rsidP="00205E5E">
      <w:pPr>
        <w:rPr>
          <w:b/>
        </w:rPr>
      </w:pPr>
      <w:bookmarkStart w:id="40" w:name="§20"/>
      <w:bookmarkEnd w:id="40"/>
      <w:r>
        <w:rPr>
          <w:b/>
        </w:rPr>
        <w:t>§ 20.</w:t>
      </w:r>
      <w:r>
        <w:t xml:space="preserve"> </w:t>
      </w:r>
      <w:r>
        <w:rPr>
          <w:b/>
          <w:i/>
        </w:rPr>
        <w:t>Beskyttelse mot manipulering</w:t>
      </w:r>
    </w:p>
    <w:p w:rsidR="00205E5E" w:rsidRDefault="00205E5E" w:rsidP="00205E5E">
      <w:pPr>
        <w:spacing w:before="120"/>
        <w:ind w:firstLine="180"/>
      </w:pPr>
      <w:r>
        <w:t>Dersom catchvekten koples til en annen anordning direkte eller ved fjerntilkopling, skal dets måletekniske egenskaper ikke påvirkes av anordningen på en feilaktig måte.</w:t>
      </w:r>
    </w:p>
    <w:p w:rsidR="00205E5E" w:rsidRDefault="00205E5E" w:rsidP="00205E5E">
      <w:pPr>
        <w:spacing w:before="120"/>
        <w:ind w:firstLine="180"/>
      </w:pPr>
      <w:r>
        <w:t>Komponenter som har avgjørende betydning for de måletekniske egenskapene, skal være konstruert slik at de kan sikres. De anvendte sikkerhetstiltak skal gjøre det mulig å påvise om inngrep har funnet sted.</w:t>
      </w:r>
    </w:p>
    <w:p w:rsidR="00205E5E" w:rsidRDefault="00205E5E" w:rsidP="00205E5E">
      <w:pPr>
        <w:spacing w:before="120"/>
        <w:ind w:firstLine="180"/>
      </w:pPr>
      <w:r>
        <w:t>Programvare som har avgjørende betydning for de måletekniske egenskapene, skal være merket tilsvarende, og skal være sikret. Identifikasjon av slik programvare skal lett framskaffes fra catchvekten. Eventuell informasjon eller indikasjon på at det har funnet sted et inngrep skal være tilgjengelig i et rimelig tidsrom.</w:t>
      </w:r>
    </w:p>
    <w:p w:rsidR="00205E5E" w:rsidRDefault="00205E5E" w:rsidP="00205E5E">
      <w:pPr>
        <w:spacing w:before="120"/>
        <w:ind w:firstLine="180"/>
      </w:pPr>
      <w:r>
        <w:t>Måledata, programvare som er av avgjørende betydning for måleegenskapene, og måleteknisk viktige parametere som lagres eller overføres, skal være beskyttet på hensiktsmessig vis mot tilsiktede eller utilsiktede endringer.</w:t>
      </w:r>
      <w:bookmarkStart w:id="41" w:name="PARAGRAF_21"/>
      <w:bookmarkEnd w:id="39"/>
    </w:p>
    <w:p w:rsidR="00205E5E" w:rsidRDefault="00205E5E" w:rsidP="00205E5E"/>
    <w:p w:rsidR="00205E5E" w:rsidRDefault="00205E5E" w:rsidP="00205E5E">
      <w:pPr>
        <w:rPr>
          <w:b/>
        </w:rPr>
      </w:pPr>
      <w:bookmarkStart w:id="42" w:name="§21"/>
      <w:bookmarkEnd w:id="42"/>
      <w:r>
        <w:rPr>
          <w:b/>
        </w:rPr>
        <w:t>§ 21.</w:t>
      </w:r>
      <w:r>
        <w:t xml:space="preserve"> </w:t>
      </w:r>
      <w:r>
        <w:rPr>
          <w:b/>
          <w:i/>
        </w:rPr>
        <w:t>Opplysninger som skal påføres eller følge catchvekten</w:t>
      </w:r>
    </w:p>
    <w:p w:rsidR="00205E5E" w:rsidRDefault="00205E5E" w:rsidP="00205E5E">
      <w:pPr>
        <w:spacing w:before="120"/>
        <w:ind w:firstLine="180"/>
      </w:pPr>
      <w:r>
        <w:t>En catchvekt skal være påført produsentens merke eller navn og opplysninger om vektens nøyaktighet. I den grad det er relevant skal også følgende opplysninger påføres vekten: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Relevante opplysninger om bruksbetingelser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Målekapasitet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proofErr w:type="spellStart"/>
            <w:r>
              <w:t>Måleområde</w:t>
            </w:r>
            <w:proofErr w:type="spellEnd"/>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d)</w:t>
            </w:r>
          </w:p>
        </w:tc>
        <w:tc>
          <w:tcPr>
            <w:tcW w:w="9506" w:type="dxa"/>
            <w:shd w:val="clear" w:color="auto" w:fill="FFFFFF"/>
            <w:noWrap/>
            <w:tcMar>
              <w:left w:w="20" w:type="dxa"/>
              <w:right w:w="80" w:type="dxa"/>
            </w:tcMar>
          </w:tcPr>
          <w:p w:rsidR="00205E5E" w:rsidRDefault="00205E5E" w:rsidP="00736021">
            <w:r>
              <w:t>Identitetsmerke</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e</w:t>
            </w:r>
            <w:proofErr w:type="gramEnd"/>
            <w:r>
              <w:t>)</w:t>
            </w:r>
          </w:p>
        </w:tc>
        <w:tc>
          <w:tcPr>
            <w:tcW w:w="9506" w:type="dxa"/>
            <w:shd w:val="clear" w:color="auto" w:fill="FFFFFF"/>
            <w:noWrap/>
            <w:tcMar>
              <w:left w:w="20" w:type="dxa"/>
              <w:right w:w="80" w:type="dxa"/>
            </w:tcMar>
          </w:tcPr>
          <w:p w:rsidR="00205E5E" w:rsidRDefault="00205E5E" w:rsidP="00736021">
            <w:r>
              <w:t>Nummer på sertifikat for EF-typegodkjenning eller EF-konstruksjonsundersøkelse</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f</w:t>
            </w:r>
            <w:proofErr w:type="gramEnd"/>
            <w:r>
              <w:t>)</w:t>
            </w:r>
          </w:p>
        </w:tc>
        <w:tc>
          <w:tcPr>
            <w:tcW w:w="9506" w:type="dxa"/>
            <w:shd w:val="clear" w:color="auto" w:fill="FFFFFF"/>
            <w:noWrap/>
            <w:tcMar>
              <w:left w:w="20" w:type="dxa"/>
              <w:right w:w="80" w:type="dxa"/>
            </w:tcMar>
          </w:tcPr>
          <w:p w:rsidR="00205E5E" w:rsidRDefault="00205E5E" w:rsidP="00736021">
            <w:r>
              <w:t>Opplysninger om tilleggsutstyr som gir måleresultater, overholder bestemmelsene i fastsatte forskrifter vedrørende lovregulert måleteknisk kontroll.</w:t>
            </w:r>
          </w:p>
        </w:tc>
      </w:tr>
    </w:tbl>
    <w:p w:rsidR="00205E5E" w:rsidRDefault="00205E5E" w:rsidP="00205E5E">
      <w:pPr>
        <w:rPr>
          <w:sz w:val="6"/>
        </w:rPr>
      </w:pPr>
    </w:p>
    <w:p w:rsidR="00205E5E" w:rsidRDefault="00205E5E" w:rsidP="00205E5E">
      <w:pPr>
        <w:spacing w:before="120"/>
        <w:ind w:firstLine="180"/>
      </w:pPr>
      <w:r>
        <w:lastRenderedPageBreak/>
        <w:t>Opplysninger om betjening skal følge catchvekten med mindre vekten er så enkel at dette er unødvendig. Opplysningene skal være lette å forstå, og skal i relevant omfang omfatte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Angitte driftsbetingelser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Elektromagnetisk miljø</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r>
              <w:t>Øvre og nedre temperaturgrense, om kondensasjon er akseptabelt eller ikke, åpen eller lukket plassering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d)</w:t>
            </w:r>
          </w:p>
        </w:tc>
        <w:tc>
          <w:tcPr>
            <w:tcW w:w="9506" w:type="dxa"/>
            <w:shd w:val="clear" w:color="auto" w:fill="FFFFFF"/>
            <w:noWrap/>
            <w:tcMar>
              <w:left w:w="20" w:type="dxa"/>
              <w:right w:w="80" w:type="dxa"/>
            </w:tcMar>
          </w:tcPr>
          <w:p w:rsidR="00205E5E" w:rsidRDefault="00205E5E" w:rsidP="00736021">
            <w:r>
              <w:t>Anvisninger for montering, vedlikehold, reparasjoner og tillatte innstillinger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e</w:t>
            </w:r>
            <w:proofErr w:type="gramEnd"/>
            <w:r>
              <w:t>)</w:t>
            </w:r>
          </w:p>
        </w:tc>
        <w:tc>
          <w:tcPr>
            <w:tcW w:w="9506" w:type="dxa"/>
            <w:shd w:val="clear" w:color="auto" w:fill="FFFFFF"/>
            <w:noWrap/>
            <w:tcMar>
              <w:left w:w="20" w:type="dxa"/>
              <w:right w:w="80" w:type="dxa"/>
            </w:tcMar>
          </w:tcPr>
          <w:p w:rsidR="00205E5E" w:rsidRDefault="00205E5E" w:rsidP="00736021">
            <w:r>
              <w:t>Anvisninger for korrekt betjening og eventuelle særlige bruksvilkår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f</w:t>
            </w:r>
            <w:proofErr w:type="gramEnd"/>
            <w:r>
              <w:t>)</w:t>
            </w:r>
          </w:p>
        </w:tc>
        <w:tc>
          <w:tcPr>
            <w:tcW w:w="9506" w:type="dxa"/>
            <w:shd w:val="clear" w:color="auto" w:fill="FFFFFF"/>
            <w:noWrap/>
            <w:tcMar>
              <w:left w:w="20" w:type="dxa"/>
              <w:right w:w="80" w:type="dxa"/>
            </w:tcMar>
          </w:tcPr>
          <w:p w:rsidR="00205E5E" w:rsidRDefault="00205E5E" w:rsidP="00736021">
            <w:r>
              <w:t>Vilkår for kompatibilitet med grensesnitt, underenheter eller måleredskap.</w:t>
            </w:r>
          </w:p>
        </w:tc>
      </w:tr>
    </w:tbl>
    <w:p w:rsidR="00205E5E" w:rsidRDefault="00205E5E" w:rsidP="00205E5E">
      <w:pPr>
        <w:rPr>
          <w:sz w:val="6"/>
        </w:rPr>
      </w:pPr>
    </w:p>
    <w:p w:rsidR="00205E5E" w:rsidRDefault="00205E5E" w:rsidP="00205E5E">
      <w:pPr>
        <w:spacing w:before="120"/>
        <w:ind w:firstLine="180"/>
      </w:pPr>
      <w:r>
        <w:t>Alle merker og påskrifter skal være tydelige og utvetydige og de skal ikke kunne fjernes eller flyttes.</w:t>
      </w:r>
      <w:bookmarkStart w:id="43" w:name="PARAGRAF_22"/>
      <w:bookmarkEnd w:id="41"/>
    </w:p>
    <w:p w:rsidR="00205E5E" w:rsidRDefault="00205E5E" w:rsidP="00205E5E"/>
    <w:p w:rsidR="00205E5E" w:rsidRDefault="00205E5E" w:rsidP="00205E5E">
      <w:pPr>
        <w:rPr>
          <w:b/>
        </w:rPr>
      </w:pPr>
      <w:bookmarkStart w:id="44" w:name="§22"/>
      <w:bookmarkEnd w:id="44"/>
      <w:r>
        <w:rPr>
          <w:b/>
        </w:rPr>
        <w:t>§ 22.</w:t>
      </w:r>
      <w:r>
        <w:t xml:space="preserve"> </w:t>
      </w:r>
      <w:r>
        <w:rPr>
          <w:b/>
          <w:i/>
        </w:rPr>
        <w:t xml:space="preserve">Angivelse av </w:t>
      </w:r>
      <w:proofErr w:type="spellStart"/>
      <w:r>
        <w:rPr>
          <w:b/>
          <w:i/>
        </w:rPr>
        <w:t>måleverdi</w:t>
      </w:r>
      <w:proofErr w:type="spellEnd"/>
    </w:p>
    <w:p w:rsidR="00205E5E" w:rsidRDefault="00205E5E" w:rsidP="00205E5E">
      <w:pPr>
        <w:spacing w:before="120"/>
        <w:ind w:firstLine="180"/>
      </w:pPr>
      <w:r>
        <w:t xml:space="preserve">Med mindre annet er angitt i avsnitt II, skal </w:t>
      </w:r>
      <w:proofErr w:type="spellStart"/>
      <w:r>
        <w:t>skalaintervallet</w:t>
      </w:r>
      <w:proofErr w:type="spellEnd"/>
      <w:r>
        <w:t xml:space="preserve"> for en målt verdi være på formen 1 x 10</w:t>
      </w:r>
      <w:proofErr w:type="gramStart"/>
      <w:r>
        <w:rPr>
          <w:vertAlign w:val="superscript"/>
        </w:rPr>
        <w:t>n</w:t>
      </w:r>
      <w:r>
        <w:t xml:space="preserve"> ,</w:t>
      </w:r>
      <w:proofErr w:type="gramEnd"/>
      <w:r>
        <w:t xml:space="preserve"> 2 x 10</w:t>
      </w:r>
      <w:r>
        <w:rPr>
          <w:vertAlign w:val="superscript"/>
        </w:rPr>
        <w:t>n</w:t>
      </w:r>
      <w:r>
        <w:t xml:space="preserve"> eller 5 x 10</w:t>
      </w:r>
      <w:r>
        <w:rPr>
          <w:vertAlign w:val="superscript"/>
        </w:rPr>
        <w:t>n</w:t>
      </w:r>
      <w:r>
        <w:t xml:space="preserve"> , hvor n er et heltall eller null. Målenheten eller dens symbol skal vises nær tallverdien.</w:t>
      </w:r>
    </w:p>
    <w:p w:rsidR="00205E5E" w:rsidRDefault="00205E5E" w:rsidP="00205E5E">
      <w:pPr>
        <w:spacing w:before="120"/>
        <w:ind w:firstLine="180"/>
      </w:pPr>
      <w:r>
        <w:t>Det skal benyttes målenheter og symboler som er i samsvar med bestemmelsene i forskrift om målenheter og måling.</w:t>
      </w:r>
      <w:bookmarkStart w:id="45" w:name="PARAGRAF_23"/>
      <w:bookmarkEnd w:id="43"/>
    </w:p>
    <w:p w:rsidR="00205E5E" w:rsidRDefault="00205E5E" w:rsidP="00205E5E"/>
    <w:p w:rsidR="00205E5E" w:rsidRDefault="00205E5E" w:rsidP="00205E5E">
      <w:pPr>
        <w:rPr>
          <w:b/>
        </w:rPr>
      </w:pPr>
      <w:bookmarkStart w:id="46" w:name="§23"/>
      <w:bookmarkEnd w:id="46"/>
      <w:r>
        <w:rPr>
          <w:b/>
        </w:rPr>
        <w:t>§ 23.</w:t>
      </w:r>
      <w:r>
        <w:t xml:space="preserve"> </w:t>
      </w:r>
      <w:r>
        <w:rPr>
          <w:b/>
          <w:i/>
        </w:rPr>
        <w:t>Visning av resultat</w:t>
      </w:r>
    </w:p>
    <w:p w:rsidR="00205E5E" w:rsidRDefault="00205E5E" w:rsidP="00205E5E">
      <w:pPr>
        <w:spacing w:before="120"/>
        <w:ind w:firstLine="180"/>
      </w:pPr>
      <w:r>
        <w:t>Resultatet skal vises på et display eller som papirutskrift. Ved utskrift skal skriften eller registreringen være lett lesbar og ikke kunne fjernes.</w:t>
      </w:r>
    </w:p>
    <w:p w:rsidR="00205E5E" w:rsidRDefault="00205E5E" w:rsidP="00205E5E">
      <w:pPr>
        <w:spacing w:before="120"/>
        <w:ind w:firstLine="180"/>
      </w:pPr>
      <w:r>
        <w:t>Alle resultater skal være tydelige og utvetydige og ledsaget av de merker og påskrifter som er nødvendige for å opplyse brukeren om resultatets betydning. Resultatet som vises, skal være lett lesbart under normale bruksforhold. Ytterligere informasjon kan vises under forutsetning av at den ikke kan forveksles med de måletekniske kontrollerte resultatene.</w:t>
      </w:r>
    </w:p>
    <w:p w:rsidR="00205E5E" w:rsidRDefault="00205E5E" w:rsidP="00205E5E">
      <w:pPr>
        <w:spacing w:before="120"/>
        <w:ind w:firstLine="180"/>
      </w:pPr>
      <w:r>
        <w:t xml:space="preserve">En catchvekt for handelstransaksjoner i form av direktesalg skal være konstruert slik at måleresultatene vises for begge parter i transaksjonen når det er montert hensiktsmessig. Enhver kvittering som er avgjørende for direktesalg og som kunden får gjennom en tilknyttet anordning som ikke oppfyller krav i denne </w:t>
      </w:r>
      <w:proofErr w:type="spellStart"/>
      <w:r>
        <w:t>forskriften</w:t>
      </w:r>
      <w:proofErr w:type="spellEnd"/>
      <w:r>
        <w:t>, skal være påført relevante opplysninger om begrensingen.</w:t>
      </w:r>
      <w:bookmarkStart w:id="47" w:name="PARAGRAF_24"/>
      <w:bookmarkEnd w:id="45"/>
    </w:p>
    <w:p w:rsidR="00205E5E" w:rsidRDefault="00205E5E" w:rsidP="00205E5E"/>
    <w:p w:rsidR="00205E5E" w:rsidRDefault="00205E5E" w:rsidP="00205E5E">
      <w:pPr>
        <w:rPr>
          <w:b/>
        </w:rPr>
      </w:pPr>
      <w:bookmarkStart w:id="48" w:name="§24"/>
      <w:bookmarkEnd w:id="48"/>
      <w:r>
        <w:rPr>
          <w:b/>
        </w:rPr>
        <w:t>§ 24.</w:t>
      </w:r>
      <w:r>
        <w:t xml:space="preserve"> </w:t>
      </w:r>
      <w:r>
        <w:rPr>
          <w:b/>
          <w:i/>
        </w:rPr>
        <w:t>Ytterligere behandling av data for å avslutte en handelstransaksjon</w:t>
      </w:r>
    </w:p>
    <w:p w:rsidR="00205E5E" w:rsidRDefault="00205E5E" w:rsidP="00205E5E">
      <w:pPr>
        <w:spacing w:before="120"/>
        <w:ind w:firstLine="180"/>
      </w:pPr>
      <w:r>
        <w:lastRenderedPageBreak/>
        <w:t>Catchvekten skal på en varig måte registrere måleresultatet sammen med opplysninger som identifiserer den bestemte transaksjon, når målingen ikke kan gjentas og vekten normalt er beregnet brukt når den ene parten i transaksjonen er fraværende.</w:t>
      </w:r>
    </w:p>
    <w:p w:rsidR="00205E5E" w:rsidRDefault="00205E5E" w:rsidP="00205E5E">
      <w:pPr>
        <w:spacing w:before="120"/>
        <w:ind w:firstLine="180"/>
      </w:pPr>
      <w:r>
        <w:t>I tillegg skal et varig bevis på måleresultatet og opplysninger for identifikasjon av transaksjonen kunne stilles til rådighet på anmodning idet målingen avsluttes.</w:t>
      </w:r>
      <w:bookmarkStart w:id="49" w:name="PARAGRAF_25"/>
      <w:bookmarkEnd w:id="47"/>
    </w:p>
    <w:p w:rsidR="00205E5E" w:rsidRDefault="00205E5E" w:rsidP="00205E5E"/>
    <w:p w:rsidR="00205E5E" w:rsidRDefault="00205E5E" w:rsidP="00205E5E">
      <w:pPr>
        <w:rPr>
          <w:b/>
        </w:rPr>
      </w:pPr>
      <w:bookmarkStart w:id="50" w:name="§25"/>
      <w:bookmarkEnd w:id="50"/>
      <w:r>
        <w:rPr>
          <w:b/>
        </w:rPr>
        <w:t>§ 25.</w:t>
      </w:r>
      <w:r>
        <w:t xml:space="preserve"> </w:t>
      </w:r>
      <w:r>
        <w:rPr>
          <w:b/>
          <w:i/>
        </w:rPr>
        <w:t>Samsvarsvurdering</w:t>
      </w:r>
    </w:p>
    <w:p w:rsidR="00205E5E" w:rsidRDefault="00205E5E" w:rsidP="00205E5E">
      <w:pPr>
        <w:spacing w:before="120"/>
        <w:ind w:firstLine="180"/>
      </w:pPr>
      <w:r>
        <w:t xml:space="preserve">En catchvekt skal være konstruert slik at det lett kan vurderes om det er i samsvar med de relevante kravene i denne </w:t>
      </w:r>
      <w:proofErr w:type="spellStart"/>
      <w:r>
        <w:t>forskriften</w:t>
      </w:r>
      <w:proofErr w:type="spellEnd"/>
      <w:r>
        <w:t>.</w:t>
      </w:r>
      <w:bookmarkStart w:id="51" w:name="KAPITTEL_2-2"/>
      <w:bookmarkEnd w:id="49"/>
    </w:p>
    <w:p w:rsidR="00205E5E" w:rsidRDefault="00205E5E" w:rsidP="00205E5E">
      <w:r>
        <w:br/>
      </w:r>
    </w:p>
    <w:p w:rsidR="00205E5E" w:rsidRDefault="00205E5E" w:rsidP="00205E5E">
      <w:pPr>
        <w:pStyle w:val="Overskrift3"/>
        <w:spacing w:before="0"/>
      </w:pPr>
      <w:bookmarkStart w:id="52" w:name="_Toc256000006"/>
      <w:r>
        <w:t>Avsnitt II – Spesifikke krav</w:t>
      </w:r>
      <w:bookmarkStart w:id="53" w:name="PARAGRAF_26"/>
      <w:bookmarkEnd w:id="52"/>
    </w:p>
    <w:p w:rsidR="00205E5E" w:rsidRDefault="00205E5E" w:rsidP="00205E5E"/>
    <w:p w:rsidR="00205E5E" w:rsidRDefault="00205E5E" w:rsidP="00205E5E">
      <w:pPr>
        <w:rPr>
          <w:b/>
        </w:rPr>
      </w:pPr>
      <w:bookmarkStart w:id="54" w:name="§26"/>
      <w:bookmarkEnd w:id="54"/>
      <w:r>
        <w:rPr>
          <w:b/>
        </w:rPr>
        <w:t>§ 26.</w:t>
      </w:r>
      <w:r>
        <w:t xml:space="preserve"> </w:t>
      </w:r>
      <w:r>
        <w:rPr>
          <w:b/>
          <w:i/>
        </w:rPr>
        <w:t>Angitte driftsbetingelser</w:t>
      </w:r>
    </w:p>
    <w:p w:rsidR="00205E5E" w:rsidRDefault="00205E5E" w:rsidP="00205E5E">
      <w:pPr>
        <w:spacing w:before="120"/>
        <w:ind w:firstLine="180"/>
      </w:pPr>
      <w:r>
        <w:t>Produsenten skal angi nominelle bruksforhold for catchvekter som følger: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 xml:space="preserve">For målestørrelsen: </w:t>
            </w:r>
            <w:proofErr w:type="spellStart"/>
            <w:r>
              <w:t>Måleområdet</w:t>
            </w:r>
            <w:proofErr w:type="spellEnd"/>
            <w:r>
              <w:t xml:space="preserve"> i form av største og minste last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For påvirkende størrelser fra elektrisitetsforsyning: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1.</w:t>
            </w:r>
          </w:p>
        </w:tc>
        <w:tc>
          <w:tcPr>
            <w:tcW w:w="9146" w:type="dxa"/>
            <w:shd w:val="clear" w:color="auto" w:fill="FFFFFF"/>
            <w:noWrap/>
            <w:tcMar>
              <w:left w:w="20" w:type="dxa"/>
              <w:right w:w="80" w:type="dxa"/>
            </w:tcMar>
          </w:tcPr>
          <w:p w:rsidR="00205E5E" w:rsidRDefault="00205E5E" w:rsidP="00736021">
            <w:r>
              <w:t>For vekselstrømforsyning: Nominell vekselstrømspenning, eller grenser for vekselstrømspenning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2.</w:t>
            </w:r>
          </w:p>
        </w:tc>
        <w:tc>
          <w:tcPr>
            <w:tcW w:w="9146" w:type="dxa"/>
            <w:shd w:val="clear" w:color="auto" w:fill="FFFFFF"/>
            <w:noWrap/>
            <w:tcMar>
              <w:left w:w="20" w:type="dxa"/>
              <w:right w:w="80" w:type="dxa"/>
            </w:tcMar>
          </w:tcPr>
          <w:p w:rsidR="00205E5E" w:rsidRDefault="00205E5E" w:rsidP="00736021">
            <w:r>
              <w:t>For likestrømforsyning: Nominell og minste likestrømspenning, eller grenser for likestrømspenning</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c)</w:t>
            </w:r>
          </w:p>
        </w:tc>
        <w:tc>
          <w:tcPr>
            <w:tcW w:w="9506" w:type="dxa"/>
            <w:shd w:val="clear" w:color="auto" w:fill="FFFFFF"/>
            <w:noWrap/>
            <w:tcMar>
              <w:left w:w="20" w:type="dxa"/>
              <w:right w:w="80" w:type="dxa"/>
            </w:tcMar>
          </w:tcPr>
          <w:p w:rsidR="00205E5E" w:rsidRDefault="00205E5E" w:rsidP="00736021">
            <w:r>
              <w:t>For mekaniske og klimatiske påvirkende størrelser: Minste temperaturintervall er 30 °C. For catchvekter som brukes under spesiell mekanisk belastning, f.eks. catchvekter som er innbygd i kjøretøyer, skal produsenten definere de mekaniske bruksforholdene</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r>
              <w:t>d)</w:t>
            </w:r>
          </w:p>
        </w:tc>
        <w:tc>
          <w:tcPr>
            <w:tcW w:w="9506" w:type="dxa"/>
            <w:shd w:val="clear" w:color="auto" w:fill="FFFFFF"/>
            <w:noWrap/>
            <w:tcMar>
              <w:left w:w="20" w:type="dxa"/>
              <w:right w:w="80" w:type="dxa"/>
            </w:tcMar>
          </w:tcPr>
          <w:p w:rsidR="00205E5E" w:rsidRDefault="00205E5E" w:rsidP="00736021">
            <w:r>
              <w:t>For andre påvirkende størrelser (om relevant):</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1.</w:t>
            </w:r>
          </w:p>
        </w:tc>
        <w:tc>
          <w:tcPr>
            <w:tcW w:w="9146" w:type="dxa"/>
            <w:shd w:val="clear" w:color="auto" w:fill="FFFFFF"/>
            <w:noWrap/>
            <w:tcMar>
              <w:left w:w="20" w:type="dxa"/>
              <w:right w:w="80" w:type="dxa"/>
            </w:tcMar>
          </w:tcPr>
          <w:p w:rsidR="00205E5E" w:rsidRDefault="00205E5E" w:rsidP="00736021">
            <w:r>
              <w:t>Arbeidshastighet(er)</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2.</w:t>
            </w:r>
          </w:p>
        </w:tc>
        <w:tc>
          <w:tcPr>
            <w:tcW w:w="9146" w:type="dxa"/>
            <w:shd w:val="clear" w:color="auto" w:fill="FFFFFF"/>
            <w:noWrap/>
            <w:tcMar>
              <w:left w:w="20" w:type="dxa"/>
              <w:right w:w="80" w:type="dxa"/>
            </w:tcMar>
          </w:tcPr>
          <w:p w:rsidR="00205E5E" w:rsidRDefault="00205E5E" w:rsidP="00736021">
            <w:r>
              <w:t>Egenskaper ved produkt(er) til veiing.</w:t>
            </w:r>
          </w:p>
        </w:tc>
      </w:tr>
    </w:tbl>
    <w:p w:rsidR="00205E5E" w:rsidRDefault="00205E5E" w:rsidP="00205E5E">
      <w:bookmarkStart w:id="55" w:name="PARAGRAF_27"/>
      <w:bookmarkEnd w:id="53"/>
    </w:p>
    <w:p w:rsidR="00205E5E" w:rsidRDefault="00205E5E" w:rsidP="00205E5E"/>
    <w:p w:rsidR="00205E5E" w:rsidRDefault="00205E5E" w:rsidP="00205E5E">
      <w:pPr>
        <w:rPr>
          <w:b/>
        </w:rPr>
      </w:pPr>
      <w:bookmarkStart w:id="56" w:name="§27"/>
      <w:bookmarkEnd w:id="56"/>
      <w:r>
        <w:rPr>
          <w:b/>
        </w:rPr>
        <w:t>§ 27.</w:t>
      </w:r>
      <w:r>
        <w:t xml:space="preserve"> </w:t>
      </w:r>
      <w:r>
        <w:rPr>
          <w:b/>
          <w:i/>
        </w:rPr>
        <w:t>Egnethet</w:t>
      </w:r>
    </w:p>
    <w:p w:rsidR="00205E5E" w:rsidRDefault="00205E5E" w:rsidP="00205E5E">
      <w:pPr>
        <w:spacing w:before="120"/>
        <w:ind w:firstLine="180"/>
      </w:pPr>
      <w:r>
        <w:lastRenderedPageBreak/>
        <w:t xml:space="preserve">Det skal finnes midler til å begrense virkningene av skråstilling, belastning og arbeidshastighet slik at maksimal verdi for maksimal tillatte målefeil ikke </w:t>
      </w:r>
      <w:proofErr w:type="spellStart"/>
      <w:r>
        <w:t>overskrides</w:t>
      </w:r>
      <w:proofErr w:type="spellEnd"/>
      <w:r>
        <w:t xml:space="preserve"> ved normal drift. Det skal finnes egnede anordninger for materialhåndtering og hensiktsmessig nullstillingsfunksjon slik at catchvekten kan overholde maksimal tillatte målefeil ved normal drift.</w:t>
      </w:r>
    </w:p>
    <w:p w:rsidR="00205E5E" w:rsidRDefault="00205E5E" w:rsidP="00205E5E">
      <w:pPr>
        <w:spacing w:before="120"/>
        <w:ind w:firstLine="180"/>
      </w:pPr>
      <w:r>
        <w:t xml:space="preserve">Betjeningsanordningers grenseflater skal være tydelige og effektive. Operatøren skal kunne kontrollere at en eventuell visningsanordning er pålitelig. Resultater som faller utenfor </w:t>
      </w:r>
      <w:proofErr w:type="spellStart"/>
      <w:r>
        <w:t>måleområdet</w:t>
      </w:r>
      <w:proofErr w:type="spellEnd"/>
      <w:r>
        <w:t>, skal identifiseres som slike dersom det er mulig med utskrift</w:t>
      </w:r>
      <w:bookmarkStart w:id="57" w:name="PARAGRAF_28"/>
      <w:bookmarkEnd w:id="55"/>
    </w:p>
    <w:p w:rsidR="00205E5E" w:rsidRDefault="00205E5E" w:rsidP="00205E5E"/>
    <w:p w:rsidR="00205E5E" w:rsidRDefault="00205E5E" w:rsidP="00205E5E">
      <w:pPr>
        <w:rPr>
          <w:b/>
        </w:rPr>
      </w:pPr>
      <w:bookmarkStart w:id="58" w:name="§28"/>
      <w:bookmarkEnd w:id="58"/>
      <w:r>
        <w:rPr>
          <w:b/>
        </w:rPr>
        <w:t>§ 28.</w:t>
      </w:r>
      <w:r>
        <w:t xml:space="preserve"> </w:t>
      </w:r>
      <w:r>
        <w:rPr>
          <w:b/>
          <w:i/>
        </w:rPr>
        <w:t>Nøyaktighetsklasser</w:t>
      </w:r>
    </w:p>
    <w:p w:rsidR="00205E5E" w:rsidRDefault="00205E5E" w:rsidP="00205E5E">
      <w:pPr>
        <w:spacing w:before="120"/>
        <w:ind w:firstLine="180"/>
      </w:pPr>
      <w:r>
        <w:t xml:space="preserve">Catchvektene inndeles i hovedkategorier betegnet </w:t>
      </w:r>
      <w:proofErr w:type="spellStart"/>
      <w:r>
        <w:t>X</w:t>
      </w:r>
      <w:proofErr w:type="spellEnd"/>
      <w:r>
        <w:t xml:space="preserve"> eller Y henhold til produsentens spesifikasjon. Disse hovedkategoriene deles videre inn i fire nøyaktighetsklasser: XI, </w:t>
      </w:r>
      <w:proofErr w:type="spellStart"/>
      <w:r>
        <w:t>XII</w:t>
      </w:r>
      <w:proofErr w:type="spellEnd"/>
      <w:r>
        <w:t xml:space="preserve">, </w:t>
      </w:r>
      <w:proofErr w:type="spellStart"/>
      <w:r>
        <w:t>XIII</w:t>
      </w:r>
      <w:proofErr w:type="spellEnd"/>
      <w:r>
        <w:t xml:space="preserve"> og </w:t>
      </w:r>
      <w:proofErr w:type="spellStart"/>
      <w:r>
        <w:t>XIV</w:t>
      </w:r>
      <w:proofErr w:type="spellEnd"/>
      <w:r>
        <w:t xml:space="preserve"> og Y(I), Y(II), Y(a) og Y(b) som skal angis av produsenten.</w:t>
      </w:r>
    </w:p>
    <w:p w:rsidR="00205E5E" w:rsidRDefault="00205E5E" w:rsidP="00205E5E">
      <w:pPr>
        <w:spacing w:before="120"/>
        <w:ind w:firstLine="180"/>
      </w:pPr>
      <w:r>
        <w:t>Følgende nøyaktighetsklasser skal anvendes til følgende type veiing:</w:t>
      </w:r>
    </w:p>
    <w:p w:rsidR="00205E5E" w:rsidRDefault="00205E5E" w:rsidP="00205E5E">
      <w:pPr>
        <w:spacing w:before="120"/>
        <w:ind w:firstLine="180"/>
        <w:rPr>
          <w:sz w:val="6"/>
        </w:rPr>
      </w:pPr>
    </w:p>
    <w:p w:rsidR="00205E5E" w:rsidRDefault="00205E5E" w:rsidP="00205E5E">
      <w:pPr>
        <w:spacing w:after="4"/>
        <w:rPr>
          <w:i/>
        </w:rPr>
      </w:pPr>
      <w:r>
        <w:rPr>
          <w:i/>
        </w:rPr>
        <w:t>Tabell 3</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947"/>
        <w:gridCol w:w="7919"/>
      </w:tblGrid>
      <w:tr w:rsidR="00205E5E" w:rsidTr="00736021">
        <w:tc>
          <w:tcPr>
            <w:tcW w:w="1947" w:type="dxa"/>
            <w:shd w:val="clear" w:color="auto" w:fill="FFFFFF"/>
            <w:noWrap/>
            <w:tcMar>
              <w:left w:w="20" w:type="dxa"/>
              <w:right w:w="20" w:type="dxa"/>
            </w:tcMar>
          </w:tcPr>
          <w:p w:rsidR="00205E5E" w:rsidRDefault="00205E5E" w:rsidP="00736021">
            <w:pPr>
              <w:spacing w:after="8"/>
            </w:pPr>
            <w:r>
              <w:rPr>
                <w:i/>
              </w:rPr>
              <w:t>XI</w:t>
            </w:r>
          </w:p>
        </w:tc>
        <w:tc>
          <w:tcPr>
            <w:tcW w:w="7919" w:type="dxa"/>
            <w:shd w:val="clear" w:color="auto" w:fill="FFFFFF"/>
            <w:noWrap/>
            <w:tcMar>
              <w:left w:w="20" w:type="dxa"/>
              <w:right w:w="20" w:type="dxa"/>
            </w:tcMar>
          </w:tcPr>
          <w:p w:rsidR="00205E5E" w:rsidRDefault="00205E5E" w:rsidP="00736021">
            <w:pPr>
              <w:spacing w:after="8"/>
            </w:pPr>
            <w:r>
              <w:t>Benyttes der det er behov for svært god nøyaktighet.</w:t>
            </w:r>
          </w:p>
        </w:tc>
      </w:tr>
      <w:tr w:rsidR="00205E5E" w:rsidTr="00736021">
        <w:tc>
          <w:tcPr>
            <w:tcW w:w="1947" w:type="dxa"/>
            <w:shd w:val="clear" w:color="auto" w:fill="FFFFFF"/>
            <w:noWrap/>
            <w:tcMar>
              <w:left w:w="20" w:type="dxa"/>
              <w:right w:w="20" w:type="dxa"/>
            </w:tcMar>
          </w:tcPr>
          <w:p w:rsidR="00205E5E" w:rsidRDefault="00205E5E" w:rsidP="00736021">
            <w:pPr>
              <w:spacing w:after="8"/>
            </w:pPr>
            <w:proofErr w:type="spellStart"/>
            <w:r>
              <w:rPr>
                <w:i/>
              </w:rPr>
              <w:t>XII</w:t>
            </w:r>
            <w:proofErr w:type="spellEnd"/>
          </w:p>
        </w:tc>
        <w:tc>
          <w:tcPr>
            <w:tcW w:w="7919" w:type="dxa"/>
            <w:shd w:val="clear" w:color="auto" w:fill="FFFFFF"/>
            <w:noWrap/>
            <w:tcMar>
              <w:left w:w="20" w:type="dxa"/>
              <w:right w:w="20" w:type="dxa"/>
            </w:tcMar>
          </w:tcPr>
          <w:p w:rsidR="00205E5E" w:rsidRDefault="00205E5E" w:rsidP="00736021">
            <w:pPr>
              <w:spacing w:after="8"/>
            </w:pPr>
            <w:r>
              <w:t>Benyttes der det er behov for god nøyaktighet.</w:t>
            </w:r>
          </w:p>
        </w:tc>
      </w:tr>
      <w:tr w:rsidR="00205E5E" w:rsidTr="00736021">
        <w:tc>
          <w:tcPr>
            <w:tcW w:w="1947" w:type="dxa"/>
            <w:shd w:val="clear" w:color="auto" w:fill="FFFFFF"/>
            <w:noWrap/>
            <w:tcMar>
              <w:left w:w="20" w:type="dxa"/>
              <w:right w:w="20" w:type="dxa"/>
            </w:tcMar>
          </w:tcPr>
          <w:p w:rsidR="00205E5E" w:rsidRDefault="00205E5E" w:rsidP="00736021">
            <w:pPr>
              <w:spacing w:after="8"/>
            </w:pPr>
            <w:proofErr w:type="spellStart"/>
            <w:r>
              <w:rPr>
                <w:i/>
              </w:rPr>
              <w:t>XIII</w:t>
            </w:r>
            <w:proofErr w:type="spellEnd"/>
          </w:p>
        </w:tc>
        <w:tc>
          <w:tcPr>
            <w:tcW w:w="7919" w:type="dxa"/>
            <w:shd w:val="clear" w:color="auto" w:fill="FFFFFF"/>
            <w:noWrap/>
            <w:tcMar>
              <w:left w:w="20" w:type="dxa"/>
              <w:right w:w="20" w:type="dxa"/>
            </w:tcMar>
          </w:tcPr>
          <w:p w:rsidR="00205E5E" w:rsidRDefault="00205E5E" w:rsidP="00736021">
            <w:pPr>
              <w:spacing w:after="8"/>
            </w:pPr>
            <w:r>
              <w:t xml:space="preserve">Benyttes ved veiing av ferdig bearbeidede produkter </w:t>
            </w:r>
            <w:proofErr w:type="gramStart"/>
            <w:r>
              <w:t>og  lignende</w:t>
            </w:r>
            <w:proofErr w:type="gramEnd"/>
            <w:r>
              <w:t xml:space="preserve"> handelstransaksjoner.</w:t>
            </w:r>
          </w:p>
        </w:tc>
      </w:tr>
      <w:tr w:rsidR="00205E5E" w:rsidTr="00736021">
        <w:tc>
          <w:tcPr>
            <w:tcW w:w="1947" w:type="dxa"/>
            <w:shd w:val="clear" w:color="auto" w:fill="FFFFFF"/>
            <w:noWrap/>
            <w:tcMar>
              <w:left w:w="20" w:type="dxa"/>
              <w:right w:w="20" w:type="dxa"/>
            </w:tcMar>
          </w:tcPr>
          <w:p w:rsidR="00205E5E" w:rsidRDefault="00205E5E" w:rsidP="00736021">
            <w:pPr>
              <w:spacing w:after="8"/>
            </w:pPr>
            <w:proofErr w:type="spellStart"/>
            <w:r>
              <w:rPr>
                <w:i/>
              </w:rPr>
              <w:t>XIV</w:t>
            </w:r>
            <w:proofErr w:type="spellEnd"/>
          </w:p>
        </w:tc>
        <w:tc>
          <w:tcPr>
            <w:tcW w:w="7919" w:type="dxa"/>
            <w:shd w:val="clear" w:color="auto" w:fill="FFFFFF"/>
            <w:noWrap/>
            <w:tcMar>
              <w:left w:w="20" w:type="dxa"/>
              <w:right w:w="20" w:type="dxa"/>
            </w:tcMar>
          </w:tcPr>
          <w:p w:rsidR="00205E5E" w:rsidRDefault="00205E5E" w:rsidP="00736021">
            <w:pPr>
              <w:spacing w:after="8"/>
            </w:pPr>
            <w:r>
              <w:t xml:space="preserve">Vil bli vurdert av </w:t>
            </w:r>
            <w:proofErr w:type="spellStart"/>
            <w:r>
              <w:t>Justervesenet</w:t>
            </w:r>
            <w:proofErr w:type="spellEnd"/>
            <w:r>
              <w:t xml:space="preserve"> i hvert enkelt tilfelle.</w:t>
            </w:r>
          </w:p>
        </w:tc>
      </w:tr>
      <w:tr w:rsidR="00205E5E" w:rsidTr="00736021">
        <w:tc>
          <w:tcPr>
            <w:tcW w:w="1947" w:type="dxa"/>
            <w:shd w:val="clear" w:color="auto" w:fill="FFFFFF"/>
            <w:noWrap/>
            <w:tcMar>
              <w:left w:w="20" w:type="dxa"/>
              <w:right w:w="20" w:type="dxa"/>
            </w:tcMar>
          </w:tcPr>
          <w:p w:rsidR="00205E5E" w:rsidRDefault="00205E5E" w:rsidP="00736021">
            <w:pPr>
              <w:spacing w:after="8"/>
            </w:pPr>
            <w:r>
              <w:rPr>
                <w:i/>
              </w:rPr>
              <w:t>Y(I)</w:t>
            </w:r>
          </w:p>
        </w:tc>
        <w:tc>
          <w:tcPr>
            <w:tcW w:w="7919" w:type="dxa"/>
            <w:shd w:val="clear" w:color="auto" w:fill="FFFFFF"/>
            <w:noWrap/>
            <w:tcMar>
              <w:left w:w="20" w:type="dxa"/>
              <w:right w:w="20" w:type="dxa"/>
            </w:tcMar>
          </w:tcPr>
          <w:p w:rsidR="00205E5E" w:rsidRDefault="00205E5E" w:rsidP="00736021">
            <w:pPr>
              <w:spacing w:after="8"/>
            </w:pPr>
            <w:r>
              <w:t>Benyttes der det er behov for svært god nøyaktighet.</w:t>
            </w:r>
          </w:p>
        </w:tc>
      </w:tr>
      <w:tr w:rsidR="00205E5E" w:rsidTr="00736021">
        <w:tc>
          <w:tcPr>
            <w:tcW w:w="1947" w:type="dxa"/>
            <w:shd w:val="clear" w:color="auto" w:fill="FFFFFF"/>
            <w:noWrap/>
            <w:tcMar>
              <w:left w:w="20" w:type="dxa"/>
              <w:right w:w="20" w:type="dxa"/>
            </w:tcMar>
          </w:tcPr>
          <w:p w:rsidR="00205E5E" w:rsidRDefault="00205E5E" w:rsidP="00736021">
            <w:pPr>
              <w:spacing w:after="8"/>
            </w:pPr>
            <w:r>
              <w:rPr>
                <w:i/>
              </w:rPr>
              <w:t>Y(II)</w:t>
            </w:r>
          </w:p>
        </w:tc>
        <w:tc>
          <w:tcPr>
            <w:tcW w:w="7919" w:type="dxa"/>
            <w:shd w:val="clear" w:color="auto" w:fill="FFFFFF"/>
            <w:noWrap/>
            <w:tcMar>
              <w:left w:w="20" w:type="dxa"/>
              <w:right w:w="20" w:type="dxa"/>
            </w:tcMar>
          </w:tcPr>
          <w:p w:rsidR="00205E5E" w:rsidRDefault="00205E5E" w:rsidP="00736021">
            <w:pPr>
              <w:spacing w:after="8"/>
            </w:pPr>
            <w:r>
              <w:t>Benyttes der det er behov for god nøyaktighet.</w:t>
            </w:r>
          </w:p>
        </w:tc>
      </w:tr>
      <w:tr w:rsidR="00205E5E" w:rsidTr="00736021">
        <w:tc>
          <w:tcPr>
            <w:tcW w:w="1947" w:type="dxa"/>
            <w:shd w:val="clear" w:color="auto" w:fill="FFFFFF"/>
            <w:noWrap/>
            <w:tcMar>
              <w:left w:w="20" w:type="dxa"/>
              <w:right w:w="20" w:type="dxa"/>
            </w:tcMar>
          </w:tcPr>
          <w:p w:rsidR="00205E5E" w:rsidRDefault="00205E5E" w:rsidP="00736021">
            <w:pPr>
              <w:spacing w:after="8"/>
            </w:pPr>
            <w:r>
              <w:rPr>
                <w:i/>
              </w:rPr>
              <w:t>Y(a)</w:t>
            </w:r>
          </w:p>
        </w:tc>
        <w:tc>
          <w:tcPr>
            <w:tcW w:w="7919" w:type="dxa"/>
            <w:shd w:val="clear" w:color="auto" w:fill="FFFFFF"/>
            <w:noWrap/>
            <w:tcMar>
              <w:left w:w="20" w:type="dxa"/>
              <w:right w:w="20" w:type="dxa"/>
            </w:tcMar>
          </w:tcPr>
          <w:p w:rsidR="00205E5E" w:rsidRDefault="00205E5E" w:rsidP="00736021">
            <w:pPr>
              <w:spacing w:after="8"/>
            </w:pPr>
            <w:r>
              <w:t xml:space="preserve">Benyttes ved veiing av ferdig bearbeidede produkter </w:t>
            </w:r>
            <w:proofErr w:type="gramStart"/>
            <w:r>
              <w:t>og  lignende</w:t>
            </w:r>
            <w:proofErr w:type="gramEnd"/>
            <w:r>
              <w:t xml:space="preserve"> handelstransaksjoner. For eksempel merkevekter/prismerkevekter.</w:t>
            </w:r>
          </w:p>
        </w:tc>
      </w:tr>
      <w:tr w:rsidR="00205E5E" w:rsidTr="00736021">
        <w:tc>
          <w:tcPr>
            <w:tcW w:w="1947" w:type="dxa"/>
            <w:shd w:val="clear" w:color="auto" w:fill="FFFFFF"/>
            <w:noWrap/>
            <w:tcMar>
              <w:left w:w="20" w:type="dxa"/>
              <w:right w:w="20" w:type="dxa"/>
            </w:tcMar>
          </w:tcPr>
          <w:p w:rsidR="00205E5E" w:rsidRDefault="00205E5E" w:rsidP="00736021">
            <w:pPr>
              <w:spacing w:after="8"/>
            </w:pPr>
            <w:r>
              <w:rPr>
                <w:i/>
              </w:rPr>
              <w:t>Y((b)</w:t>
            </w:r>
          </w:p>
        </w:tc>
        <w:tc>
          <w:tcPr>
            <w:tcW w:w="7919" w:type="dxa"/>
            <w:shd w:val="clear" w:color="auto" w:fill="FFFFFF"/>
            <w:noWrap/>
            <w:tcMar>
              <w:left w:w="20" w:type="dxa"/>
              <w:right w:w="20" w:type="dxa"/>
            </w:tcMar>
          </w:tcPr>
          <w:p w:rsidR="00205E5E" w:rsidRDefault="00205E5E" w:rsidP="00736021">
            <w:pPr>
              <w:spacing w:after="8"/>
            </w:pPr>
            <w:r>
              <w:t xml:space="preserve">Benyttes ved beregning av frakt, tariff, etc. I </w:t>
            </w:r>
            <w:proofErr w:type="gramStart"/>
            <w:r>
              <w:t>tillegg  kan</w:t>
            </w:r>
            <w:proofErr w:type="gramEnd"/>
            <w:r>
              <w:t xml:space="preserve"> de benyttes til veiing av sand, singel, malm, avfall og andre prislignende  varer. For eksempel søppelbilvekter og hjullastervekter.</w:t>
            </w:r>
          </w:p>
        </w:tc>
      </w:tr>
    </w:tbl>
    <w:p w:rsidR="00205E5E" w:rsidRDefault="00205E5E" w:rsidP="00205E5E">
      <w:pPr>
        <w:spacing w:after="8"/>
      </w:pPr>
      <w:bookmarkStart w:id="59" w:name="PARAGRAF_29"/>
      <w:bookmarkEnd w:id="57"/>
    </w:p>
    <w:p w:rsidR="00205E5E" w:rsidRDefault="00205E5E" w:rsidP="00205E5E"/>
    <w:p w:rsidR="00205E5E" w:rsidRDefault="00205E5E" w:rsidP="00205E5E">
      <w:pPr>
        <w:rPr>
          <w:b/>
        </w:rPr>
      </w:pPr>
      <w:bookmarkStart w:id="60" w:name="§29"/>
      <w:bookmarkEnd w:id="60"/>
      <w:r>
        <w:rPr>
          <w:b/>
        </w:rPr>
        <w:t>§ 29.</w:t>
      </w:r>
      <w:r>
        <w:t xml:space="preserve"> </w:t>
      </w:r>
      <w:r>
        <w:rPr>
          <w:b/>
          <w:i/>
        </w:rPr>
        <w:t xml:space="preserve">Catchvekter i kategori </w:t>
      </w:r>
      <w:proofErr w:type="spellStart"/>
      <w:r>
        <w:rPr>
          <w:b/>
          <w:i/>
        </w:rPr>
        <w:t>X</w:t>
      </w:r>
      <w:proofErr w:type="spellEnd"/>
    </w:p>
    <w:p w:rsidR="00205E5E" w:rsidRDefault="00205E5E" w:rsidP="00205E5E">
      <w:pPr>
        <w:spacing w:before="120"/>
        <w:ind w:firstLine="180"/>
      </w:pPr>
      <w:r>
        <w:t xml:space="preserve">Kategori </w:t>
      </w:r>
      <w:proofErr w:type="spellStart"/>
      <w:r>
        <w:t>X</w:t>
      </w:r>
      <w:proofErr w:type="spellEnd"/>
      <w:r>
        <w:t xml:space="preserve"> omfatter catchvekter som brukes til å kontrollere ferdigpakkede produkter framstilt i samsvar med kravene i </w:t>
      </w:r>
      <w:hyperlink r:id="rId18" w:anchor="reference/forskrift/2007-12-21-1730" w:history="1">
        <w:r>
          <w:t>forskrift 21. desember 2007 nr. 1730</w:t>
        </w:r>
      </w:hyperlink>
      <w:r>
        <w:t xml:space="preserve"> om e-merking av ferdigpakninger.</w:t>
      </w:r>
    </w:p>
    <w:p w:rsidR="00205E5E" w:rsidRDefault="00205E5E" w:rsidP="00205E5E">
      <w:pPr>
        <w:spacing w:before="120"/>
        <w:ind w:firstLine="180"/>
      </w:pPr>
      <w:r>
        <w:t>Nøyaktighetsklassene suppleres med en faktor (x) som kvantifiserer maksimalt tillatt standardavvik som angitt i tabell 5. Produsenten skal angi faktoren (x), der (x) skal være ≤ 2 og ha formen 1 x 10</w:t>
      </w:r>
      <w:proofErr w:type="gramStart"/>
      <w:r>
        <w:rPr>
          <w:vertAlign w:val="superscript"/>
        </w:rPr>
        <w:t>k</w:t>
      </w:r>
      <w:r>
        <w:t xml:space="preserve"> ,</w:t>
      </w:r>
      <w:proofErr w:type="gramEnd"/>
      <w:r>
        <w:t xml:space="preserve"> 2 x 10</w:t>
      </w:r>
      <w:r>
        <w:rPr>
          <w:vertAlign w:val="superscript"/>
        </w:rPr>
        <w:t>k</w:t>
      </w:r>
      <w:r>
        <w:t xml:space="preserve"> eller 5 x 10</w:t>
      </w:r>
      <w:r>
        <w:rPr>
          <w:vertAlign w:val="superscript"/>
        </w:rPr>
        <w:t>k,</w:t>
      </w:r>
      <w:r>
        <w:t xml:space="preserve"> hvor k er et negativt heltall eller null.</w:t>
      </w:r>
      <w:bookmarkStart w:id="61" w:name="PARAGRAF_30"/>
      <w:bookmarkEnd w:id="59"/>
    </w:p>
    <w:p w:rsidR="00205E5E" w:rsidRDefault="00205E5E" w:rsidP="00205E5E"/>
    <w:p w:rsidR="00205E5E" w:rsidRDefault="00205E5E" w:rsidP="00205E5E">
      <w:pPr>
        <w:rPr>
          <w:b/>
        </w:rPr>
      </w:pPr>
      <w:bookmarkStart w:id="62" w:name="§30"/>
      <w:bookmarkEnd w:id="62"/>
      <w:r>
        <w:rPr>
          <w:b/>
        </w:rPr>
        <w:t>§ 30.</w:t>
      </w:r>
      <w:r>
        <w:t xml:space="preserve"> </w:t>
      </w:r>
      <w:r>
        <w:rPr>
          <w:b/>
          <w:i/>
        </w:rPr>
        <w:t>Catchvekter i kategori Y</w:t>
      </w:r>
    </w:p>
    <w:p w:rsidR="00205E5E" w:rsidRDefault="00205E5E" w:rsidP="00205E5E">
      <w:pPr>
        <w:spacing w:before="120"/>
        <w:ind w:firstLine="180"/>
      </w:pPr>
      <w:r>
        <w:t>Kategori Y omfatter alle andre catchvekter for automatisk veiing.</w:t>
      </w:r>
      <w:bookmarkStart w:id="63" w:name="PARAGRAF_31"/>
      <w:bookmarkEnd w:id="61"/>
    </w:p>
    <w:p w:rsidR="00205E5E" w:rsidRDefault="00205E5E" w:rsidP="00205E5E"/>
    <w:p w:rsidR="00205E5E" w:rsidRDefault="00205E5E" w:rsidP="00205E5E">
      <w:pPr>
        <w:rPr>
          <w:b/>
        </w:rPr>
      </w:pPr>
      <w:bookmarkStart w:id="64" w:name="§31"/>
      <w:bookmarkEnd w:id="64"/>
      <w:r>
        <w:rPr>
          <w:b/>
        </w:rPr>
        <w:t>§ 31.</w:t>
      </w:r>
      <w:r>
        <w:t xml:space="preserve"> </w:t>
      </w:r>
      <w:r>
        <w:rPr>
          <w:b/>
          <w:i/>
        </w:rPr>
        <w:t>Maksimale tillatte feil</w:t>
      </w:r>
    </w:p>
    <w:p w:rsidR="00205E5E" w:rsidRDefault="00205E5E" w:rsidP="00205E5E">
      <w:pPr>
        <w:spacing w:before="120"/>
        <w:ind w:firstLine="180"/>
      </w:pPr>
      <w:r>
        <w:lastRenderedPageBreak/>
        <w:t xml:space="preserve">Tabell 4 viser maksimal tillatt gjennomsnittlig feil for klasse </w:t>
      </w:r>
      <w:proofErr w:type="spellStart"/>
      <w:r>
        <w:t>X</w:t>
      </w:r>
      <w:proofErr w:type="spellEnd"/>
      <w:r>
        <w:t xml:space="preserve"> og maksimal tillatt feil for klasse Y.</w:t>
      </w:r>
    </w:p>
    <w:p w:rsidR="00205E5E" w:rsidRDefault="00205E5E" w:rsidP="00205E5E">
      <w:pPr>
        <w:spacing w:before="120"/>
        <w:ind w:firstLine="180"/>
        <w:rPr>
          <w:sz w:val="6"/>
        </w:rPr>
      </w:pPr>
    </w:p>
    <w:p w:rsidR="00205E5E" w:rsidRDefault="00205E5E" w:rsidP="00205E5E">
      <w:pPr>
        <w:spacing w:after="4"/>
        <w:rPr>
          <w:i/>
        </w:rPr>
      </w:pPr>
      <w:r>
        <w:rPr>
          <w:i/>
        </w:rPr>
        <w:t>Tabell 4</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649"/>
        <w:gridCol w:w="649"/>
        <w:gridCol w:w="649"/>
        <w:gridCol w:w="649"/>
        <w:gridCol w:w="649"/>
        <w:gridCol w:w="649"/>
        <w:gridCol w:w="649"/>
        <w:gridCol w:w="650"/>
        <w:gridCol w:w="1168"/>
        <w:gridCol w:w="1169"/>
        <w:gridCol w:w="1168"/>
        <w:gridCol w:w="1169"/>
      </w:tblGrid>
      <w:tr w:rsidR="00205E5E" w:rsidTr="00736021">
        <w:trPr>
          <w:cantSplit/>
        </w:trPr>
        <w:tc>
          <w:tcPr>
            <w:tcW w:w="5193" w:type="dxa"/>
            <w:gridSpan w:val="8"/>
            <w:shd w:val="clear" w:color="auto" w:fill="DCDCDC"/>
            <w:noWrap/>
            <w:tcMar>
              <w:left w:w="20" w:type="dxa"/>
              <w:right w:w="20" w:type="dxa"/>
            </w:tcMar>
          </w:tcPr>
          <w:p w:rsidR="00205E5E" w:rsidRDefault="00205E5E" w:rsidP="00736021">
            <w:pPr>
              <w:spacing w:after="8"/>
            </w:pPr>
            <w:r>
              <w:rPr>
                <w:b/>
                <w:i/>
              </w:rPr>
              <w:t>Belastning (m) uttrykt i minstedelinger (e)</w:t>
            </w:r>
          </w:p>
        </w:tc>
        <w:tc>
          <w:tcPr>
            <w:tcW w:w="2337" w:type="dxa"/>
            <w:gridSpan w:val="2"/>
            <w:shd w:val="clear" w:color="auto" w:fill="DCDCDC"/>
            <w:noWrap/>
            <w:tcMar>
              <w:left w:w="20" w:type="dxa"/>
              <w:right w:w="20" w:type="dxa"/>
            </w:tcMar>
          </w:tcPr>
          <w:p w:rsidR="00205E5E" w:rsidRDefault="00205E5E" w:rsidP="00736021">
            <w:pPr>
              <w:spacing w:after="8"/>
            </w:pPr>
            <w:r>
              <w:rPr>
                <w:b/>
                <w:i/>
              </w:rPr>
              <w:t xml:space="preserve">Maksimal </w:t>
            </w:r>
            <w:proofErr w:type="gramStart"/>
            <w:r>
              <w:rPr>
                <w:b/>
                <w:i/>
              </w:rPr>
              <w:t>tillatt  gjennomsnittlig</w:t>
            </w:r>
            <w:proofErr w:type="gramEnd"/>
            <w:r>
              <w:rPr>
                <w:b/>
                <w:i/>
              </w:rPr>
              <w:t xml:space="preserve"> feil for klasse </w:t>
            </w:r>
            <w:proofErr w:type="spellStart"/>
            <w:r>
              <w:rPr>
                <w:b/>
                <w:i/>
              </w:rPr>
              <w:t>X</w:t>
            </w:r>
            <w:proofErr w:type="spellEnd"/>
          </w:p>
        </w:tc>
        <w:tc>
          <w:tcPr>
            <w:tcW w:w="2337" w:type="dxa"/>
            <w:gridSpan w:val="2"/>
            <w:shd w:val="clear" w:color="auto" w:fill="DCDCDC"/>
            <w:noWrap/>
            <w:tcMar>
              <w:left w:w="20" w:type="dxa"/>
              <w:right w:w="20" w:type="dxa"/>
            </w:tcMar>
          </w:tcPr>
          <w:p w:rsidR="00205E5E" w:rsidRDefault="00205E5E" w:rsidP="00736021">
            <w:pPr>
              <w:spacing w:after="8"/>
            </w:pPr>
            <w:r>
              <w:rPr>
                <w:b/>
                <w:i/>
              </w:rPr>
              <w:t xml:space="preserve">Maksimal tillatt feil for </w:t>
            </w:r>
            <w:proofErr w:type="gramStart"/>
            <w:r>
              <w:rPr>
                <w:b/>
                <w:i/>
              </w:rPr>
              <w:t>klasse  Y</w:t>
            </w:r>
            <w:proofErr w:type="gramEnd"/>
          </w:p>
        </w:tc>
      </w:tr>
      <w:tr w:rsidR="00205E5E" w:rsidTr="00736021">
        <w:trPr>
          <w:cantSplit/>
        </w:trPr>
        <w:tc>
          <w:tcPr>
            <w:tcW w:w="649" w:type="dxa"/>
            <w:shd w:val="clear" w:color="auto" w:fill="DCDCDC"/>
            <w:noWrap/>
            <w:tcMar>
              <w:left w:w="20" w:type="dxa"/>
              <w:right w:w="20" w:type="dxa"/>
            </w:tcMar>
          </w:tcPr>
          <w:p w:rsidR="00205E5E" w:rsidRDefault="00205E5E" w:rsidP="00736021">
            <w:pPr>
              <w:spacing w:after="8"/>
            </w:pPr>
            <w:r>
              <w:rPr>
                <w:b/>
                <w:i/>
              </w:rPr>
              <w:t>XI</w:t>
            </w:r>
          </w:p>
        </w:tc>
        <w:tc>
          <w:tcPr>
            <w:tcW w:w="649" w:type="dxa"/>
            <w:shd w:val="clear" w:color="auto" w:fill="DCDCDC"/>
            <w:noWrap/>
            <w:tcMar>
              <w:left w:w="20" w:type="dxa"/>
              <w:right w:w="20" w:type="dxa"/>
            </w:tcMar>
          </w:tcPr>
          <w:p w:rsidR="00205E5E" w:rsidRDefault="00205E5E" w:rsidP="00736021">
            <w:pPr>
              <w:spacing w:after="8"/>
            </w:pPr>
            <w:r>
              <w:rPr>
                <w:b/>
                <w:i/>
              </w:rPr>
              <w:t>Y(I)</w:t>
            </w:r>
          </w:p>
        </w:tc>
        <w:tc>
          <w:tcPr>
            <w:tcW w:w="649" w:type="dxa"/>
            <w:shd w:val="clear" w:color="auto" w:fill="DCDCDC"/>
            <w:noWrap/>
            <w:tcMar>
              <w:left w:w="20" w:type="dxa"/>
              <w:right w:w="20" w:type="dxa"/>
            </w:tcMar>
          </w:tcPr>
          <w:p w:rsidR="00205E5E" w:rsidRDefault="00205E5E" w:rsidP="00736021">
            <w:pPr>
              <w:spacing w:after="8"/>
            </w:pPr>
            <w:proofErr w:type="spellStart"/>
            <w:r>
              <w:rPr>
                <w:b/>
                <w:i/>
              </w:rPr>
              <w:t>XII</w:t>
            </w:r>
            <w:proofErr w:type="spellEnd"/>
          </w:p>
        </w:tc>
        <w:tc>
          <w:tcPr>
            <w:tcW w:w="649" w:type="dxa"/>
            <w:shd w:val="clear" w:color="auto" w:fill="DCDCDC"/>
            <w:noWrap/>
            <w:tcMar>
              <w:left w:w="20" w:type="dxa"/>
              <w:right w:w="20" w:type="dxa"/>
            </w:tcMar>
          </w:tcPr>
          <w:p w:rsidR="00205E5E" w:rsidRDefault="00205E5E" w:rsidP="00736021">
            <w:pPr>
              <w:spacing w:after="8"/>
            </w:pPr>
            <w:r>
              <w:rPr>
                <w:b/>
                <w:i/>
              </w:rPr>
              <w:t>Y(II)</w:t>
            </w:r>
          </w:p>
        </w:tc>
        <w:tc>
          <w:tcPr>
            <w:tcW w:w="649" w:type="dxa"/>
            <w:shd w:val="clear" w:color="auto" w:fill="DCDCDC"/>
            <w:noWrap/>
            <w:tcMar>
              <w:left w:w="20" w:type="dxa"/>
              <w:right w:w="20" w:type="dxa"/>
            </w:tcMar>
          </w:tcPr>
          <w:p w:rsidR="00205E5E" w:rsidRDefault="00205E5E" w:rsidP="00736021">
            <w:pPr>
              <w:spacing w:after="8"/>
            </w:pPr>
            <w:proofErr w:type="spellStart"/>
            <w:r>
              <w:rPr>
                <w:b/>
                <w:i/>
              </w:rPr>
              <w:t>XIII</w:t>
            </w:r>
            <w:proofErr w:type="spellEnd"/>
          </w:p>
        </w:tc>
        <w:tc>
          <w:tcPr>
            <w:tcW w:w="649" w:type="dxa"/>
            <w:shd w:val="clear" w:color="auto" w:fill="DCDCDC"/>
            <w:noWrap/>
            <w:tcMar>
              <w:left w:w="20" w:type="dxa"/>
              <w:right w:w="20" w:type="dxa"/>
            </w:tcMar>
          </w:tcPr>
          <w:p w:rsidR="00205E5E" w:rsidRDefault="00205E5E" w:rsidP="00736021">
            <w:pPr>
              <w:spacing w:after="8"/>
            </w:pPr>
            <w:r>
              <w:rPr>
                <w:b/>
                <w:i/>
              </w:rPr>
              <w:t>Y(a)</w:t>
            </w:r>
          </w:p>
        </w:tc>
        <w:tc>
          <w:tcPr>
            <w:tcW w:w="649" w:type="dxa"/>
            <w:shd w:val="clear" w:color="auto" w:fill="DCDCDC"/>
            <w:noWrap/>
            <w:tcMar>
              <w:left w:w="20" w:type="dxa"/>
              <w:right w:w="20" w:type="dxa"/>
            </w:tcMar>
          </w:tcPr>
          <w:p w:rsidR="00205E5E" w:rsidRDefault="00205E5E" w:rsidP="00736021">
            <w:pPr>
              <w:spacing w:after="8"/>
            </w:pPr>
            <w:proofErr w:type="spellStart"/>
            <w:r>
              <w:rPr>
                <w:b/>
                <w:i/>
              </w:rPr>
              <w:t>XIV</w:t>
            </w:r>
            <w:proofErr w:type="spellEnd"/>
          </w:p>
        </w:tc>
        <w:tc>
          <w:tcPr>
            <w:tcW w:w="649" w:type="dxa"/>
            <w:shd w:val="clear" w:color="auto" w:fill="DCDCDC"/>
            <w:noWrap/>
            <w:tcMar>
              <w:left w:w="20" w:type="dxa"/>
              <w:right w:w="20" w:type="dxa"/>
            </w:tcMar>
          </w:tcPr>
          <w:p w:rsidR="00205E5E" w:rsidRDefault="00205E5E" w:rsidP="00736021">
            <w:pPr>
              <w:spacing w:after="8"/>
            </w:pPr>
            <w:r>
              <w:rPr>
                <w:b/>
                <w:i/>
              </w:rPr>
              <w:t>Y(b)</w:t>
            </w:r>
          </w:p>
        </w:tc>
        <w:tc>
          <w:tcPr>
            <w:tcW w:w="1168" w:type="dxa"/>
            <w:shd w:val="clear" w:color="auto" w:fill="DCDCDC"/>
            <w:noWrap/>
            <w:tcMar>
              <w:left w:w="20" w:type="dxa"/>
              <w:right w:w="20" w:type="dxa"/>
            </w:tcMar>
          </w:tcPr>
          <w:p w:rsidR="00205E5E" w:rsidRDefault="00205E5E" w:rsidP="00736021">
            <w:pPr>
              <w:spacing w:after="8"/>
            </w:pPr>
            <w:r>
              <w:rPr>
                <w:b/>
                <w:i/>
              </w:rPr>
              <w:t xml:space="preserve">Ved salg  </w:t>
            </w:r>
            <w:r>
              <w:rPr>
                <w:b/>
                <w:i/>
              </w:rPr>
              <w:br/>
              <w:t xml:space="preserve">  og oppfølg-  </w:t>
            </w:r>
            <w:r>
              <w:rPr>
                <w:b/>
                <w:i/>
              </w:rPr>
              <w:br/>
              <w:t xml:space="preserve">  </w:t>
            </w:r>
            <w:proofErr w:type="spellStart"/>
            <w:r>
              <w:rPr>
                <w:b/>
                <w:i/>
              </w:rPr>
              <w:t>ings</w:t>
            </w:r>
            <w:proofErr w:type="spellEnd"/>
            <w:r>
              <w:rPr>
                <w:b/>
                <w:i/>
              </w:rPr>
              <w:t xml:space="preserve">-  </w:t>
            </w:r>
            <w:r>
              <w:rPr>
                <w:b/>
                <w:i/>
              </w:rPr>
              <w:br/>
              <w:t xml:space="preserve">  kontroll</w:t>
            </w:r>
          </w:p>
        </w:tc>
        <w:tc>
          <w:tcPr>
            <w:tcW w:w="1168" w:type="dxa"/>
            <w:shd w:val="clear" w:color="auto" w:fill="DCDCDC"/>
            <w:noWrap/>
            <w:tcMar>
              <w:left w:w="20" w:type="dxa"/>
              <w:right w:w="20" w:type="dxa"/>
            </w:tcMar>
          </w:tcPr>
          <w:p w:rsidR="00205E5E" w:rsidRDefault="00205E5E" w:rsidP="00736021">
            <w:pPr>
              <w:spacing w:after="8"/>
            </w:pPr>
            <w:r>
              <w:rPr>
                <w:b/>
                <w:i/>
              </w:rPr>
              <w:t>Ordinær kontroll under bruk</w:t>
            </w:r>
          </w:p>
        </w:tc>
        <w:tc>
          <w:tcPr>
            <w:tcW w:w="1168" w:type="dxa"/>
            <w:shd w:val="clear" w:color="auto" w:fill="DCDCDC"/>
            <w:noWrap/>
            <w:tcMar>
              <w:left w:w="20" w:type="dxa"/>
              <w:right w:w="20" w:type="dxa"/>
            </w:tcMar>
          </w:tcPr>
          <w:p w:rsidR="00205E5E" w:rsidRDefault="00205E5E" w:rsidP="00736021">
            <w:pPr>
              <w:spacing w:after="8"/>
            </w:pPr>
            <w:r>
              <w:rPr>
                <w:b/>
                <w:i/>
              </w:rPr>
              <w:t xml:space="preserve">Ved salg  </w:t>
            </w:r>
            <w:r>
              <w:rPr>
                <w:b/>
                <w:i/>
              </w:rPr>
              <w:br/>
              <w:t xml:space="preserve">  og oppfølg-  </w:t>
            </w:r>
            <w:r>
              <w:rPr>
                <w:b/>
                <w:i/>
              </w:rPr>
              <w:br/>
              <w:t xml:space="preserve">  </w:t>
            </w:r>
            <w:proofErr w:type="spellStart"/>
            <w:r>
              <w:rPr>
                <w:b/>
                <w:i/>
              </w:rPr>
              <w:t>ings</w:t>
            </w:r>
            <w:proofErr w:type="spellEnd"/>
            <w:r>
              <w:rPr>
                <w:b/>
                <w:i/>
              </w:rPr>
              <w:t xml:space="preserve">-  </w:t>
            </w:r>
            <w:r>
              <w:rPr>
                <w:b/>
                <w:i/>
              </w:rPr>
              <w:br/>
              <w:t xml:space="preserve">  kontroll</w:t>
            </w:r>
          </w:p>
        </w:tc>
        <w:tc>
          <w:tcPr>
            <w:tcW w:w="1168" w:type="dxa"/>
            <w:shd w:val="clear" w:color="auto" w:fill="DCDCDC"/>
            <w:noWrap/>
            <w:tcMar>
              <w:left w:w="20" w:type="dxa"/>
              <w:right w:w="20" w:type="dxa"/>
            </w:tcMar>
          </w:tcPr>
          <w:p w:rsidR="00205E5E" w:rsidRDefault="00205E5E" w:rsidP="00736021">
            <w:pPr>
              <w:spacing w:after="8"/>
            </w:pPr>
            <w:r>
              <w:rPr>
                <w:b/>
                <w:i/>
              </w:rPr>
              <w:t>Ordinær kontroll under bruk</w:t>
            </w:r>
          </w:p>
        </w:tc>
      </w:tr>
      <w:tr w:rsidR="00205E5E" w:rsidTr="00736021">
        <w:tc>
          <w:tcPr>
            <w:tcW w:w="1298" w:type="dxa"/>
            <w:gridSpan w:val="2"/>
            <w:shd w:val="clear" w:color="auto" w:fill="FFFFFF"/>
            <w:noWrap/>
            <w:tcMar>
              <w:left w:w="20" w:type="dxa"/>
              <w:right w:w="20" w:type="dxa"/>
            </w:tcMar>
          </w:tcPr>
          <w:p w:rsidR="00205E5E" w:rsidRDefault="00205E5E" w:rsidP="00736021">
            <w:pPr>
              <w:spacing w:after="8"/>
              <w:jc w:val="center"/>
            </w:pPr>
            <w:r>
              <w:t xml:space="preserve">0 &lt; m ≤  </w:t>
            </w:r>
            <w:r>
              <w:br/>
              <w:t xml:space="preserve">  50 000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0 &lt; m ≤  </w:t>
            </w:r>
            <w:r>
              <w:br/>
              <w:t xml:space="preserve">  5 000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0 &lt; m ≤  </w:t>
            </w:r>
            <w:r>
              <w:br/>
              <w:t xml:space="preserve">  500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0 &lt; m ≤  </w:t>
            </w:r>
            <w:r>
              <w:br/>
              <w:t xml:space="preserve">  50</w:t>
            </w:r>
          </w:p>
        </w:tc>
        <w:tc>
          <w:tcPr>
            <w:tcW w:w="1168" w:type="dxa"/>
            <w:shd w:val="clear" w:color="auto" w:fill="FFFFFF"/>
            <w:noWrap/>
            <w:tcMar>
              <w:left w:w="20" w:type="dxa"/>
              <w:right w:w="20" w:type="dxa"/>
            </w:tcMar>
          </w:tcPr>
          <w:p w:rsidR="00205E5E" w:rsidRDefault="00205E5E" w:rsidP="00736021">
            <w:pPr>
              <w:spacing w:after="8"/>
              <w:jc w:val="center"/>
            </w:pPr>
            <w:r>
              <w:t>± 0,5 e</w:t>
            </w:r>
          </w:p>
        </w:tc>
        <w:tc>
          <w:tcPr>
            <w:tcW w:w="1168" w:type="dxa"/>
            <w:shd w:val="clear" w:color="auto" w:fill="FFFFFF"/>
            <w:noWrap/>
            <w:tcMar>
              <w:left w:w="20" w:type="dxa"/>
              <w:right w:w="20" w:type="dxa"/>
            </w:tcMar>
          </w:tcPr>
          <w:p w:rsidR="00205E5E" w:rsidRDefault="00205E5E" w:rsidP="00736021">
            <w:pPr>
              <w:spacing w:after="8"/>
              <w:jc w:val="center"/>
            </w:pPr>
            <w:r>
              <w:t>± 1,0 e</w:t>
            </w:r>
          </w:p>
        </w:tc>
        <w:tc>
          <w:tcPr>
            <w:tcW w:w="1168" w:type="dxa"/>
            <w:shd w:val="clear" w:color="auto" w:fill="FFFFFF"/>
            <w:noWrap/>
            <w:tcMar>
              <w:left w:w="20" w:type="dxa"/>
              <w:right w:w="20" w:type="dxa"/>
            </w:tcMar>
          </w:tcPr>
          <w:p w:rsidR="00205E5E" w:rsidRDefault="00205E5E" w:rsidP="00736021">
            <w:pPr>
              <w:spacing w:after="8"/>
              <w:jc w:val="center"/>
            </w:pPr>
            <w:r>
              <w:t>± 1 e</w:t>
            </w:r>
          </w:p>
        </w:tc>
        <w:tc>
          <w:tcPr>
            <w:tcW w:w="1168" w:type="dxa"/>
            <w:shd w:val="clear" w:color="auto" w:fill="FFFFFF"/>
            <w:noWrap/>
            <w:tcMar>
              <w:left w:w="20" w:type="dxa"/>
              <w:right w:w="20" w:type="dxa"/>
            </w:tcMar>
          </w:tcPr>
          <w:p w:rsidR="00205E5E" w:rsidRDefault="00205E5E" w:rsidP="00736021">
            <w:pPr>
              <w:spacing w:after="8"/>
              <w:jc w:val="center"/>
            </w:pPr>
            <w:r>
              <w:t>± 2 e</w:t>
            </w:r>
          </w:p>
        </w:tc>
      </w:tr>
      <w:tr w:rsidR="00205E5E" w:rsidTr="00736021">
        <w:tc>
          <w:tcPr>
            <w:tcW w:w="1298" w:type="dxa"/>
            <w:gridSpan w:val="2"/>
            <w:shd w:val="clear" w:color="auto" w:fill="FFFFFF"/>
            <w:noWrap/>
            <w:tcMar>
              <w:left w:w="20" w:type="dxa"/>
              <w:right w:w="20" w:type="dxa"/>
            </w:tcMar>
          </w:tcPr>
          <w:p w:rsidR="00205E5E" w:rsidRDefault="00205E5E" w:rsidP="00736021">
            <w:pPr>
              <w:spacing w:after="8"/>
              <w:jc w:val="center"/>
            </w:pPr>
            <w:r>
              <w:t xml:space="preserve">50 000  </w:t>
            </w:r>
            <w:r>
              <w:br/>
              <w:t xml:space="preserve">  &lt; m ≤  </w:t>
            </w:r>
            <w:r>
              <w:br/>
              <w:t xml:space="preserve">  200 000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5 000  </w:t>
            </w:r>
            <w:r>
              <w:br/>
              <w:t xml:space="preserve">  &lt; m ≤  </w:t>
            </w:r>
            <w:r>
              <w:br/>
              <w:t xml:space="preserve">  20 000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500  </w:t>
            </w:r>
            <w:r>
              <w:br/>
              <w:t xml:space="preserve">  &lt; m ≤  </w:t>
            </w:r>
            <w:r>
              <w:br/>
              <w:t xml:space="preserve">  2 000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50  </w:t>
            </w:r>
            <w:r>
              <w:br/>
              <w:t xml:space="preserve">  &lt; m ≤  </w:t>
            </w:r>
            <w:r>
              <w:br/>
              <w:t xml:space="preserve">  200</w:t>
            </w:r>
          </w:p>
        </w:tc>
        <w:tc>
          <w:tcPr>
            <w:tcW w:w="1168" w:type="dxa"/>
            <w:shd w:val="clear" w:color="auto" w:fill="FFFFFF"/>
            <w:noWrap/>
            <w:tcMar>
              <w:left w:w="20" w:type="dxa"/>
              <w:right w:w="20" w:type="dxa"/>
            </w:tcMar>
          </w:tcPr>
          <w:p w:rsidR="00205E5E" w:rsidRDefault="00205E5E" w:rsidP="00736021">
            <w:pPr>
              <w:spacing w:after="8"/>
              <w:jc w:val="center"/>
            </w:pPr>
            <w:r>
              <w:t>± 1,0 e</w:t>
            </w:r>
          </w:p>
        </w:tc>
        <w:tc>
          <w:tcPr>
            <w:tcW w:w="1168" w:type="dxa"/>
            <w:shd w:val="clear" w:color="auto" w:fill="FFFFFF"/>
            <w:noWrap/>
            <w:tcMar>
              <w:left w:w="20" w:type="dxa"/>
              <w:right w:w="20" w:type="dxa"/>
            </w:tcMar>
          </w:tcPr>
          <w:p w:rsidR="00205E5E" w:rsidRDefault="00205E5E" w:rsidP="00736021">
            <w:pPr>
              <w:spacing w:after="8"/>
              <w:jc w:val="center"/>
            </w:pPr>
            <w:r>
              <w:t>± 2,0 e</w:t>
            </w:r>
          </w:p>
        </w:tc>
        <w:tc>
          <w:tcPr>
            <w:tcW w:w="1168" w:type="dxa"/>
            <w:shd w:val="clear" w:color="auto" w:fill="FFFFFF"/>
            <w:noWrap/>
            <w:tcMar>
              <w:left w:w="20" w:type="dxa"/>
              <w:right w:w="20" w:type="dxa"/>
            </w:tcMar>
          </w:tcPr>
          <w:p w:rsidR="00205E5E" w:rsidRDefault="00205E5E" w:rsidP="00736021">
            <w:pPr>
              <w:spacing w:after="8"/>
              <w:jc w:val="center"/>
            </w:pPr>
            <w:r>
              <w:t>± 1,5 e</w:t>
            </w:r>
          </w:p>
        </w:tc>
        <w:tc>
          <w:tcPr>
            <w:tcW w:w="1168" w:type="dxa"/>
            <w:shd w:val="clear" w:color="auto" w:fill="FFFFFF"/>
            <w:noWrap/>
            <w:tcMar>
              <w:left w:w="20" w:type="dxa"/>
              <w:right w:w="20" w:type="dxa"/>
            </w:tcMar>
          </w:tcPr>
          <w:p w:rsidR="00205E5E" w:rsidRDefault="00205E5E" w:rsidP="00736021">
            <w:pPr>
              <w:spacing w:after="8"/>
              <w:jc w:val="center"/>
            </w:pPr>
            <w:r>
              <w:t>± 3 e</w:t>
            </w:r>
          </w:p>
        </w:tc>
      </w:tr>
      <w:tr w:rsidR="00205E5E" w:rsidTr="00736021">
        <w:tc>
          <w:tcPr>
            <w:tcW w:w="1298" w:type="dxa"/>
            <w:gridSpan w:val="2"/>
            <w:shd w:val="clear" w:color="auto" w:fill="FFFFFF"/>
            <w:noWrap/>
            <w:tcMar>
              <w:left w:w="20" w:type="dxa"/>
              <w:right w:w="20" w:type="dxa"/>
            </w:tcMar>
          </w:tcPr>
          <w:p w:rsidR="00205E5E" w:rsidRDefault="00205E5E" w:rsidP="00736021">
            <w:pPr>
              <w:spacing w:after="8"/>
              <w:jc w:val="center"/>
            </w:pPr>
            <w:r>
              <w:t xml:space="preserve">200 000  </w:t>
            </w:r>
            <w:r>
              <w:br/>
              <w:t xml:space="preserve">  &lt; m</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20 000  </w:t>
            </w:r>
            <w:r>
              <w:br/>
              <w:t xml:space="preserve">  &lt; m ≤  </w:t>
            </w:r>
            <w:r>
              <w:br/>
              <w:t xml:space="preserve">  100 000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2 000  </w:t>
            </w:r>
            <w:r>
              <w:br/>
              <w:t xml:space="preserve">  &lt; m ≤ 10 000</w:t>
            </w:r>
          </w:p>
        </w:tc>
        <w:tc>
          <w:tcPr>
            <w:tcW w:w="1298" w:type="dxa"/>
            <w:gridSpan w:val="2"/>
            <w:shd w:val="clear" w:color="auto" w:fill="FFFFFF"/>
            <w:noWrap/>
            <w:tcMar>
              <w:left w:w="20" w:type="dxa"/>
              <w:right w:w="20" w:type="dxa"/>
            </w:tcMar>
          </w:tcPr>
          <w:p w:rsidR="00205E5E" w:rsidRDefault="00205E5E" w:rsidP="00736021">
            <w:pPr>
              <w:spacing w:after="8"/>
              <w:jc w:val="center"/>
            </w:pPr>
            <w:r>
              <w:t xml:space="preserve">200  </w:t>
            </w:r>
            <w:r>
              <w:br/>
              <w:t xml:space="preserve">  &lt; m ≤  </w:t>
            </w:r>
            <w:r>
              <w:br/>
              <w:t xml:space="preserve">  1 000</w:t>
            </w:r>
          </w:p>
        </w:tc>
        <w:tc>
          <w:tcPr>
            <w:tcW w:w="1168" w:type="dxa"/>
            <w:shd w:val="clear" w:color="auto" w:fill="FFFFFF"/>
            <w:noWrap/>
            <w:tcMar>
              <w:left w:w="20" w:type="dxa"/>
              <w:right w:w="20" w:type="dxa"/>
            </w:tcMar>
          </w:tcPr>
          <w:p w:rsidR="00205E5E" w:rsidRDefault="00205E5E" w:rsidP="00736021">
            <w:pPr>
              <w:spacing w:after="8"/>
              <w:jc w:val="center"/>
            </w:pPr>
            <w:r>
              <w:t>± 1,5 e</w:t>
            </w:r>
          </w:p>
        </w:tc>
        <w:tc>
          <w:tcPr>
            <w:tcW w:w="1168" w:type="dxa"/>
            <w:shd w:val="clear" w:color="auto" w:fill="FFFFFF"/>
            <w:noWrap/>
            <w:tcMar>
              <w:left w:w="20" w:type="dxa"/>
              <w:right w:w="20" w:type="dxa"/>
            </w:tcMar>
          </w:tcPr>
          <w:p w:rsidR="00205E5E" w:rsidRDefault="00205E5E" w:rsidP="00736021">
            <w:pPr>
              <w:spacing w:after="8"/>
              <w:jc w:val="center"/>
            </w:pPr>
            <w:r>
              <w:t>± 3,0 e</w:t>
            </w:r>
          </w:p>
        </w:tc>
        <w:tc>
          <w:tcPr>
            <w:tcW w:w="1168" w:type="dxa"/>
            <w:shd w:val="clear" w:color="auto" w:fill="FFFFFF"/>
            <w:noWrap/>
            <w:tcMar>
              <w:left w:w="20" w:type="dxa"/>
              <w:right w:w="20" w:type="dxa"/>
            </w:tcMar>
          </w:tcPr>
          <w:p w:rsidR="00205E5E" w:rsidRDefault="00205E5E" w:rsidP="00736021">
            <w:pPr>
              <w:spacing w:after="8"/>
              <w:jc w:val="center"/>
            </w:pPr>
            <w:r>
              <w:t>± 2 e</w:t>
            </w:r>
          </w:p>
        </w:tc>
        <w:tc>
          <w:tcPr>
            <w:tcW w:w="1168" w:type="dxa"/>
            <w:shd w:val="clear" w:color="auto" w:fill="FFFFFF"/>
            <w:noWrap/>
            <w:tcMar>
              <w:left w:w="20" w:type="dxa"/>
              <w:right w:w="20" w:type="dxa"/>
            </w:tcMar>
          </w:tcPr>
          <w:p w:rsidR="00205E5E" w:rsidRDefault="00205E5E" w:rsidP="00736021">
            <w:pPr>
              <w:spacing w:after="8"/>
              <w:jc w:val="center"/>
            </w:pPr>
            <w:r>
              <w:t>± 4 e</w:t>
            </w:r>
          </w:p>
        </w:tc>
      </w:tr>
    </w:tbl>
    <w:p w:rsidR="00205E5E" w:rsidRDefault="00205E5E" w:rsidP="00205E5E">
      <w:pPr>
        <w:spacing w:after="8"/>
        <w:rPr>
          <w:sz w:val="6"/>
        </w:rPr>
      </w:pPr>
    </w:p>
    <w:p w:rsidR="00205E5E" w:rsidRDefault="00205E5E" w:rsidP="00205E5E">
      <w:pPr>
        <w:spacing w:before="120"/>
        <w:ind w:firstLine="180"/>
      </w:pPr>
      <w:r>
        <w:t xml:space="preserve">Maksimalt tillatt standardavvik for en catchvekt i klasse </w:t>
      </w:r>
      <w:proofErr w:type="spellStart"/>
      <w:r>
        <w:t>X</w:t>
      </w:r>
      <w:proofErr w:type="spellEnd"/>
      <w:r>
        <w:t xml:space="preserve"> (x) er resultatet av multiplikasjonen med faktoren (x) og verdien i tabell 5 under.</w:t>
      </w:r>
    </w:p>
    <w:p w:rsidR="00205E5E" w:rsidRDefault="00205E5E" w:rsidP="00205E5E">
      <w:pPr>
        <w:spacing w:before="120"/>
        <w:ind w:firstLine="180"/>
        <w:rPr>
          <w:sz w:val="6"/>
        </w:rPr>
      </w:pPr>
    </w:p>
    <w:p w:rsidR="00205E5E" w:rsidRDefault="00205E5E" w:rsidP="00205E5E">
      <w:pPr>
        <w:spacing w:after="4"/>
        <w:rPr>
          <w:i/>
        </w:rPr>
      </w:pPr>
      <w:r>
        <w:rPr>
          <w:i/>
        </w:rPr>
        <w:t>Tabell 5</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894"/>
        <w:gridCol w:w="2986"/>
        <w:gridCol w:w="2986"/>
      </w:tblGrid>
      <w:tr w:rsidR="00205E5E" w:rsidTr="00736021">
        <w:trPr>
          <w:cantSplit/>
        </w:trPr>
        <w:tc>
          <w:tcPr>
            <w:tcW w:w="9866" w:type="dxa"/>
            <w:gridSpan w:val="3"/>
            <w:shd w:val="clear" w:color="auto" w:fill="DCDCDC"/>
            <w:noWrap/>
            <w:tcMar>
              <w:left w:w="20" w:type="dxa"/>
              <w:right w:w="20" w:type="dxa"/>
            </w:tcMar>
          </w:tcPr>
          <w:p w:rsidR="00205E5E" w:rsidRDefault="00205E5E" w:rsidP="00736021">
            <w:pPr>
              <w:spacing w:after="8"/>
              <w:jc w:val="center"/>
            </w:pPr>
            <w:r>
              <w:rPr>
                <w:b/>
                <w:i/>
              </w:rPr>
              <w:t xml:space="preserve">Maksimal tillatt standardavvik for klasse </w:t>
            </w:r>
            <w:proofErr w:type="spellStart"/>
            <w:r>
              <w:rPr>
                <w:b/>
                <w:i/>
              </w:rPr>
              <w:t>X</w:t>
            </w:r>
            <w:proofErr w:type="spellEnd"/>
            <w:r>
              <w:rPr>
                <w:b/>
                <w:i/>
              </w:rPr>
              <w:t>(1)</w:t>
            </w:r>
          </w:p>
        </w:tc>
      </w:tr>
      <w:tr w:rsidR="00205E5E" w:rsidTr="00736021">
        <w:trPr>
          <w:cantSplit/>
        </w:trPr>
        <w:tc>
          <w:tcPr>
            <w:tcW w:w="3894" w:type="dxa"/>
            <w:shd w:val="clear" w:color="auto" w:fill="DCDCDC"/>
            <w:noWrap/>
            <w:tcMar>
              <w:left w:w="20" w:type="dxa"/>
              <w:right w:w="20" w:type="dxa"/>
            </w:tcMar>
          </w:tcPr>
          <w:p w:rsidR="00205E5E" w:rsidRDefault="00205E5E" w:rsidP="00736021">
            <w:pPr>
              <w:spacing w:after="8"/>
              <w:jc w:val="center"/>
            </w:pPr>
            <w:r>
              <w:rPr>
                <w:b/>
                <w:i/>
              </w:rPr>
              <w:t>Belastningen m uttrykt som masse</w:t>
            </w:r>
            <w:r>
              <w:rPr>
                <w:b/>
              </w:rPr>
              <w:t xml:space="preserve"> </w:t>
            </w:r>
            <w:proofErr w:type="gramStart"/>
            <w:r>
              <w:rPr>
                <w:b/>
              </w:rPr>
              <w:t xml:space="preserve"> </w:t>
            </w:r>
            <w:r>
              <w:rPr>
                <w:b/>
              </w:rPr>
              <w:br/>
              <w:t xml:space="preserve">  </w:t>
            </w:r>
            <w:r>
              <w:rPr>
                <w:b/>
                <w:i/>
              </w:rPr>
              <w:t>(</w:t>
            </w:r>
            <w:proofErr w:type="gramEnd"/>
            <w:r>
              <w:rPr>
                <w:b/>
                <w:i/>
              </w:rPr>
              <w:t>g)</w:t>
            </w:r>
          </w:p>
        </w:tc>
        <w:tc>
          <w:tcPr>
            <w:tcW w:w="2986" w:type="dxa"/>
            <w:shd w:val="clear" w:color="auto" w:fill="DCDCDC"/>
            <w:noWrap/>
            <w:tcMar>
              <w:left w:w="20" w:type="dxa"/>
              <w:right w:w="20" w:type="dxa"/>
            </w:tcMar>
          </w:tcPr>
          <w:p w:rsidR="00205E5E" w:rsidRDefault="00205E5E" w:rsidP="00736021">
            <w:pPr>
              <w:spacing w:after="8"/>
            </w:pPr>
            <w:r>
              <w:rPr>
                <w:b/>
                <w:i/>
              </w:rPr>
              <w:t>Ved salg og oppfølgingskontroll</w:t>
            </w:r>
          </w:p>
        </w:tc>
        <w:tc>
          <w:tcPr>
            <w:tcW w:w="2986" w:type="dxa"/>
            <w:shd w:val="clear" w:color="auto" w:fill="DCDCDC"/>
            <w:noWrap/>
            <w:tcMar>
              <w:left w:w="20" w:type="dxa"/>
              <w:right w:w="20" w:type="dxa"/>
            </w:tcMar>
          </w:tcPr>
          <w:p w:rsidR="00205E5E" w:rsidRDefault="00205E5E" w:rsidP="00736021">
            <w:pPr>
              <w:spacing w:after="8"/>
            </w:pPr>
            <w:proofErr w:type="gramStart"/>
            <w:r>
              <w:rPr>
                <w:b/>
                <w:i/>
              </w:rPr>
              <w:t>Ordinær  kontroll</w:t>
            </w:r>
            <w:proofErr w:type="gramEnd"/>
            <w:r>
              <w:rPr>
                <w:b/>
                <w:i/>
              </w:rPr>
              <w:t xml:space="preserve"> under bruk</w:t>
            </w:r>
          </w:p>
        </w:tc>
      </w:tr>
      <w:tr w:rsidR="00205E5E" w:rsidTr="00736021">
        <w:tc>
          <w:tcPr>
            <w:tcW w:w="3894" w:type="dxa"/>
            <w:shd w:val="clear" w:color="auto" w:fill="FFFFFF"/>
            <w:noWrap/>
            <w:tcMar>
              <w:left w:w="20" w:type="dxa"/>
              <w:right w:w="20" w:type="dxa"/>
            </w:tcMar>
          </w:tcPr>
          <w:p w:rsidR="00205E5E" w:rsidRDefault="00205E5E" w:rsidP="00736021">
            <w:pPr>
              <w:spacing w:after="8"/>
            </w:pPr>
            <w:proofErr w:type="gramStart"/>
            <w:r>
              <w:t>m</w:t>
            </w:r>
            <w:proofErr w:type="gramEnd"/>
            <w:r>
              <w:t xml:space="preserve"> ≤ 50 g</w:t>
            </w:r>
          </w:p>
        </w:tc>
        <w:tc>
          <w:tcPr>
            <w:tcW w:w="2986" w:type="dxa"/>
            <w:shd w:val="clear" w:color="auto" w:fill="FFFFFF"/>
            <w:noWrap/>
            <w:tcMar>
              <w:left w:w="20" w:type="dxa"/>
              <w:right w:w="20" w:type="dxa"/>
            </w:tcMar>
          </w:tcPr>
          <w:p w:rsidR="00205E5E" w:rsidRDefault="00205E5E" w:rsidP="00736021">
            <w:pPr>
              <w:spacing w:after="8"/>
            </w:pPr>
            <w:r>
              <w:t>0,48 %</w:t>
            </w:r>
          </w:p>
        </w:tc>
        <w:tc>
          <w:tcPr>
            <w:tcW w:w="2986" w:type="dxa"/>
            <w:shd w:val="clear" w:color="auto" w:fill="FFFFFF"/>
            <w:noWrap/>
            <w:tcMar>
              <w:left w:w="20" w:type="dxa"/>
              <w:right w:w="20" w:type="dxa"/>
            </w:tcMar>
          </w:tcPr>
          <w:p w:rsidR="00205E5E" w:rsidRDefault="00205E5E" w:rsidP="00736021">
            <w:pPr>
              <w:spacing w:after="8"/>
            </w:pPr>
            <w:r>
              <w:t>0,6 %</w:t>
            </w:r>
          </w:p>
        </w:tc>
      </w:tr>
      <w:tr w:rsidR="00205E5E" w:rsidTr="00736021">
        <w:tc>
          <w:tcPr>
            <w:tcW w:w="3894" w:type="dxa"/>
            <w:shd w:val="clear" w:color="auto" w:fill="FFFFFF"/>
            <w:noWrap/>
            <w:tcMar>
              <w:left w:w="20" w:type="dxa"/>
              <w:right w:w="20" w:type="dxa"/>
            </w:tcMar>
          </w:tcPr>
          <w:p w:rsidR="00205E5E" w:rsidRDefault="00205E5E" w:rsidP="00736021">
            <w:pPr>
              <w:spacing w:after="8"/>
            </w:pPr>
            <w:r>
              <w:t>50 g &lt; m ≤ 100 g</w:t>
            </w:r>
          </w:p>
        </w:tc>
        <w:tc>
          <w:tcPr>
            <w:tcW w:w="2986" w:type="dxa"/>
            <w:shd w:val="clear" w:color="auto" w:fill="FFFFFF"/>
            <w:noWrap/>
            <w:tcMar>
              <w:left w:w="20" w:type="dxa"/>
              <w:right w:w="20" w:type="dxa"/>
            </w:tcMar>
          </w:tcPr>
          <w:p w:rsidR="00205E5E" w:rsidRDefault="00205E5E" w:rsidP="00736021">
            <w:pPr>
              <w:spacing w:after="8"/>
            </w:pPr>
            <w:r>
              <w:t>0,24 g</w:t>
            </w:r>
          </w:p>
        </w:tc>
        <w:tc>
          <w:tcPr>
            <w:tcW w:w="2986" w:type="dxa"/>
            <w:shd w:val="clear" w:color="auto" w:fill="FFFFFF"/>
            <w:noWrap/>
            <w:tcMar>
              <w:left w:w="20" w:type="dxa"/>
              <w:right w:w="20" w:type="dxa"/>
            </w:tcMar>
          </w:tcPr>
          <w:p w:rsidR="00205E5E" w:rsidRDefault="00205E5E" w:rsidP="00736021">
            <w:pPr>
              <w:spacing w:after="8"/>
            </w:pPr>
            <w:r>
              <w:t>0,3 g</w:t>
            </w:r>
          </w:p>
        </w:tc>
      </w:tr>
      <w:tr w:rsidR="00205E5E" w:rsidTr="00736021">
        <w:tc>
          <w:tcPr>
            <w:tcW w:w="3894" w:type="dxa"/>
            <w:shd w:val="clear" w:color="auto" w:fill="FFFFFF"/>
            <w:noWrap/>
            <w:tcMar>
              <w:left w:w="20" w:type="dxa"/>
              <w:right w:w="20" w:type="dxa"/>
            </w:tcMar>
          </w:tcPr>
          <w:p w:rsidR="00205E5E" w:rsidRDefault="00205E5E" w:rsidP="00736021">
            <w:pPr>
              <w:spacing w:after="8"/>
            </w:pPr>
            <w:r>
              <w:t>100 g &lt; m ≤ 200 g</w:t>
            </w:r>
          </w:p>
        </w:tc>
        <w:tc>
          <w:tcPr>
            <w:tcW w:w="2986" w:type="dxa"/>
            <w:shd w:val="clear" w:color="auto" w:fill="FFFFFF"/>
            <w:noWrap/>
            <w:tcMar>
              <w:left w:w="20" w:type="dxa"/>
              <w:right w:w="20" w:type="dxa"/>
            </w:tcMar>
          </w:tcPr>
          <w:p w:rsidR="00205E5E" w:rsidRDefault="00205E5E" w:rsidP="00736021">
            <w:pPr>
              <w:spacing w:after="8"/>
            </w:pPr>
            <w:r>
              <w:t>0,24 %</w:t>
            </w:r>
          </w:p>
        </w:tc>
        <w:tc>
          <w:tcPr>
            <w:tcW w:w="2986" w:type="dxa"/>
            <w:shd w:val="clear" w:color="auto" w:fill="FFFFFF"/>
            <w:noWrap/>
            <w:tcMar>
              <w:left w:w="20" w:type="dxa"/>
              <w:right w:w="20" w:type="dxa"/>
            </w:tcMar>
          </w:tcPr>
          <w:p w:rsidR="00205E5E" w:rsidRDefault="00205E5E" w:rsidP="00736021">
            <w:pPr>
              <w:spacing w:after="8"/>
            </w:pPr>
            <w:r>
              <w:t>0,3 %</w:t>
            </w:r>
          </w:p>
        </w:tc>
      </w:tr>
      <w:tr w:rsidR="00205E5E" w:rsidTr="00736021">
        <w:tc>
          <w:tcPr>
            <w:tcW w:w="3894" w:type="dxa"/>
            <w:shd w:val="clear" w:color="auto" w:fill="FFFFFF"/>
            <w:noWrap/>
            <w:tcMar>
              <w:left w:w="20" w:type="dxa"/>
              <w:right w:w="20" w:type="dxa"/>
            </w:tcMar>
          </w:tcPr>
          <w:p w:rsidR="00205E5E" w:rsidRDefault="00205E5E" w:rsidP="00736021">
            <w:pPr>
              <w:spacing w:after="8"/>
            </w:pPr>
            <w:r>
              <w:t>200 g &lt; m ≤ 300 g</w:t>
            </w:r>
          </w:p>
        </w:tc>
        <w:tc>
          <w:tcPr>
            <w:tcW w:w="2986" w:type="dxa"/>
            <w:shd w:val="clear" w:color="auto" w:fill="FFFFFF"/>
            <w:noWrap/>
            <w:tcMar>
              <w:left w:w="20" w:type="dxa"/>
              <w:right w:w="20" w:type="dxa"/>
            </w:tcMar>
          </w:tcPr>
          <w:p w:rsidR="00205E5E" w:rsidRDefault="00205E5E" w:rsidP="00736021">
            <w:pPr>
              <w:spacing w:after="8"/>
            </w:pPr>
            <w:r>
              <w:t>0,48 g</w:t>
            </w:r>
          </w:p>
        </w:tc>
        <w:tc>
          <w:tcPr>
            <w:tcW w:w="2986" w:type="dxa"/>
            <w:shd w:val="clear" w:color="auto" w:fill="FFFFFF"/>
            <w:noWrap/>
            <w:tcMar>
              <w:left w:w="20" w:type="dxa"/>
              <w:right w:w="20" w:type="dxa"/>
            </w:tcMar>
          </w:tcPr>
          <w:p w:rsidR="00205E5E" w:rsidRDefault="00205E5E" w:rsidP="00736021">
            <w:pPr>
              <w:spacing w:after="8"/>
            </w:pPr>
            <w:r>
              <w:t>0,6 g</w:t>
            </w:r>
          </w:p>
        </w:tc>
      </w:tr>
      <w:tr w:rsidR="00205E5E" w:rsidTr="00736021">
        <w:tc>
          <w:tcPr>
            <w:tcW w:w="3894" w:type="dxa"/>
            <w:shd w:val="clear" w:color="auto" w:fill="FFFFFF"/>
            <w:noWrap/>
            <w:tcMar>
              <w:left w:w="20" w:type="dxa"/>
              <w:right w:w="20" w:type="dxa"/>
            </w:tcMar>
          </w:tcPr>
          <w:p w:rsidR="00205E5E" w:rsidRDefault="00205E5E" w:rsidP="00736021">
            <w:pPr>
              <w:spacing w:after="8"/>
            </w:pPr>
            <w:r>
              <w:t>300 g &lt; m ≤ 500 g</w:t>
            </w:r>
          </w:p>
        </w:tc>
        <w:tc>
          <w:tcPr>
            <w:tcW w:w="2986" w:type="dxa"/>
            <w:shd w:val="clear" w:color="auto" w:fill="FFFFFF"/>
            <w:noWrap/>
            <w:tcMar>
              <w:left w:w="20" w:type="dxa"/>
              <w:right w:w="20" w:type="dxa"/>
            </w:tcMar>
          </w:tcPr>
          <w:p w:rsidR="00205E5E" w:rsidRDefault="00205E5E" w:rsidP="00736021">
            <w:pPr>
              <w:spacing w:after="8"/>
            </w:pPr>
            <w:r>
              <w:t>0,16 %</w:t>
            </w:r>
          </w:p>
        </w:tc>
        <w:tc>
          <w:tcPr>
            <w:tcW w:w="2986" w:type="dxa"/>
            <w:shd w:val="clear" w:color="auto" w:fill="FFFFFF"/>
            <w:noWrap/>
            <w:tcMar>
              <w:left w:w="20" w:type="dxa"/>
              <w:right w:w="20" w:type="dxa"/>
            </w:tcMar>
          </w:tcPr>
          <w:p w:rsidR="00205E5E" w:rsidRDefault="00205E5E" w:rsidP="00736021">
            <w:pPr>
              <w:spacing w:after="8"/>
            </w:pPr>
            <w:r>
              <w:t>0,2 %</w:t>
            </w:r>
          </w:p>
        </w:tc>
      </w:tr>
      <w:tr w:rsidR="00205E5E" w:rsidTr="00736021">
        <w:tc>
          <w:tcPr>
            <w:tcW w:w="3894" w:type="dxa"/>
            <w:shd w:val="clear" w:color="auto" w:fill="FFFFFF"/>
            <w:noWrap/>
            <w:tcMar>
              <w:left w:w="20" w:type="dxa"/>
              <w:right w:w="20" w:type="dxa"/>
            </w:tcMar>
          </w:tcPr>
          <w:p w:rsidR="00205E5E" w:rsidRDefault="00205E5E" w:rsidP="00736021">
            <w:pPr>
              <w:spacing w:after="8"/>
            </w:pPr>
            <w:r>
              <w:t>500 g &lt; m ≤ 1 000 g</w:t>
            </w:r>
          </w:p>
        </w:tc>
        <w:tc>
          <w:tcPr>
            <w:tcW w:w="2986" w:type="dxa"/>
            <w:shd w:val="clear" w:color="auto" w:fill="FFFFFF"/>
            <w:noWrap/>
            <w:tcMar>
              <w:left w:w="20" w:type="dxa"/>
              <w:right w:w="20" w:type="dxa"/>
            </w:tcMar>
          </w:tcPr>
          <w:p w:rsidR="00205E5E" w:rsidRDefault="00205E5E" w:rsidP="00736021">
            <w:pPr>
              <w:spacing w:after="8"/>
            </w:pPr>
            <w:r>
              <w:t>0,8 g</w:t>
            </w:r>
          </w:p>
        </w:tc>
        <w:tc>
          <w:tcPr>
            <w:tcW w:w="2986" w:type="dxa"/>
            <w:shd w:val="clear" w:color="auto" w:fill="FFFFFF"/>
            <w:noWrap/>
            <w:tcMar>
              <w:left w:w="20" w:type="dxa"/>
              <w:right w:w="20" w:type="dxa"/>
            </w:tcMar>
          </w:tcPr>
          <w:p w:rsidR="00205E5E" w:rsidRDefault="00205E5E" w:rsidP="00736021">
            <w:pPr>
              <w:spacing w:after="8"/>
            </w:pPr>
            <w:r>
              <w:t>1,0 g</w:t>
            </w:r>
          </w:p>
        </w:tc>
      </w:tr>
      <w:tr w:rsidR="00205E5E" w:rsidTr="00736021">
        <w:tc>
          <w:tcPr>
            <w:tcW w:w="3894" w:type="dxa"/>
            <w:shd w:val="clear" w:color="auto" w:fill="FFFFFF"/>
            <w:noWrap/>
            <w:tcMar>
              <w:left w:w="20" w:type="dxa"/>
              <w:right w:w="20" w:type="dxa"/>
            </w:tcMar>
          </w:tcPr>
          <w:p w:rsidR="00205E5E" w:rsidRDefault="00205E5E" w:rsidP="00736021">
            <w:pPr>
              <w:spacing w:after="8"/>
            </w:pPr>
            <w:r>
              <w:t>1 000 g &lt; m ≤ 10 000 g</w:t>
            </w:r>
          </w:p>
        </w:tc>
        <w:tc>
          <w:tcPr>
            <w:tcW w:w="2986" w:type="dxa"/>
            <w:shd w:val="clear" w:color="auto" w:fill="FFFFFF"/>
            <w:noWrap/>
            <w:tcMar>
              <w:left w:w="20" w:type="dxa"/>
              <w:right w:w="20" w:type="dxa"/>
            </w:tcMar>
          </w:tcPr>
          <w:p w:rsidR="00205E5E" w:rsidRDefault="00205E5E" w:rsidP="00736021">
            <w:pPr>
              <w:spacing w:after="8"/>
            </w:pPr>
            <w:r>
              <w:t>0,08 %</w:t>
            </w:r>
          </w:p>
        </w:tc>
        <w:tc>
          <w:tcPr>
            <w:tcW w:w="2986" w:type="dxa"/>
            <w:shd w:val="clear" w:color="auto" w:fill="FFFFFF"/>
            <w:noWrap/>
            <w:tcMar>
              <w:left w:w="20" w:type="dxa"/>
              <w:right w:w="20" w:type="dxa"/>
            </w:tcMar>
          </w:tcPr>
          <w:p w:rsidR="00205E5E" w:rsidRDefault="00205E5E" w:rsidP="00736021">
            <w:pPr>
              <w:spacing w:after="8"/>
            </w:pPr>
            <w:r>
              <w:t>0,1 %</w:t>
            </w:r>
          </w:p>
        </w:tc>
      </w:tr>
      <w:tr w:rsidR="00205E5E" w:rsidTr="00736021">
        <w:tc>
          <w:tcPr>
            <w:tcW w:w="3894" w:type="dxa"/>
            <w:shd w:val="clear" w:color="auto" w:fill="FFFFFF"/>
            <w:noWrap/>
            <w:tcMar>
              <w:left w:w="20" w:type="dxa"/>
              <w:right w:w="20" w:type="dxa"/>
            </w:tcMar>
          </w:tcPr>
          <w:p w:rsidR="00205E5E" w:rsidRDefault="00205E5E" w:rsidP="00736021">
            <w:pPr>
              <w:spacing w:after="8"/>
            </w:pPr>
            <w:r>
              <w:t>10 000 g &lt; m ≤ 15 000 g</w:t>
            </w:r>
          </w:p>
        </w:tc>
        <w:tc>
          <w:tcPr>
            <w:tcW w:w="2986" w:type="dxa"/>
            <w:shd w:val="clear" w:color="auto" w:fill="FFFFFF"/>
            <w:noWrap/>
            <w:tcMar>
              <w:left w:w="20" w:type="dxa"/>
              <w:right w:w="20" w:type="dxa"/>
            </w:tcMar>
          </w:tcPr>
          <w:p w:rsidR="00205E5E" w:rsidRDefault="00205E5E" w:rsidP="00736021">
            <w:pPr>
              <w:spacing w:after="8"/>
            </w:pPr>
            <w:r>
              <w:t>8 g</w:t>
            </w:r>
          </w:p>
        </w:tc>
        <w:tc>
          <w:tcPr>
            <w:tcW w:w="2986" w:type="dxa"/>
            <w:shd w:val="clear" w:color="auto" w:fill="FFFFFF"/>
            <w:noWrap/>
            <w:tcMar>
              <w:left w:w="20" w:type="dxa"/>
              <w:right w:w="20" w:type="dxa"/>
            </w:tcMar>
          </w:tcPr>
          <w:p w:rsidR="00205E5E" w:rsidRDefault="00205E5E" w:rsidP="00736021">
            <w:pPr>
              <w:spacing w:after="8"/>
            </w:pPr>
            <w:r>
              <w:t>10 g</w:t>
            </w:r>
          </w:p>
        </w:tc>
      </w:tr>
      <w:tr w:rsidR="00205E5E" w:rsidTr="00736021">
        <w:tc>
          <w:tcPr>
            <w:tcW w:w="3894" w:type="dxa"/>
            <w:shd w:val="clear" w:color="auto" w:fill="FFFFFF"/>
            <w:noWrap/>
            <w:tcMar>
              <w:left w:w="20" w:type="dxa"/>
              <w:right w:w="20" w:type="dxa"/>
            </w:tcMar>
          </w:tcPr>
          <w:p w:rsidR="00205E5E" w:rsidRDefault="00205E5E" w:rsidP="00736021">
            <w:pPr>
              <w:spacing w:after="8"/>
            </w:pPr>
            <w:r>
              <w:t>15 000 g &lt; m</w:t>
            </w:r>
          </w:p>
        </w:tc>
        <w:tc>
          <w:tcPr>
            <w:tcW w:w="2986" w:type="dxa"/>
            <w:shd w:val="clear" w:color="auto" w:fill="FFFFFF"/>
            <w:noWrap/>
            <w:tcMar>
              <w:left w:w="20" w:type="dxa"/>
              <w:right w:w="20" w:type="dxa"/>
            </w:tcMar>
          </w:tcPr>
          <w:p w:rsidR="00205E5E" w:rsidRDefault="00205E5E" w:rsidP="00736021">
            <w:pPr>
              <w:spacing w:after="8"/>
            </w:pPr>
            <w:r>
              <w:t>0,053 %</w:t>
            </w:r>
          </w:p>
        </w:tc>
        <w:tc>
          <w:tcPr>
            <w:tcW w:w="2986" w:type="dxa"/>
            <w:shd w:val="clear" w:color="auto" w:fill="FFFFFF"/>
            <w:noWrap/>
            <w:tcMar>
              <w:left w:w="20" w:type="dxa"/>
              <w:right w:w="20" w:type="dxa"/>
            </w:tcMar>
          </w:tcPr>
          <w:p w:rsidR="00205E5E" w:rsidRDefault="00205E5E" w:rsidP="00736021">
            <w:pPr>
              <w:spacing w:after="8"/>
            </w:pPr>
            <w:r>
              <w:t>0,067 %</w:t>
            </w:r>
          </w:p>
        </w:tc>
      </w:tr>
    </w:tbl>
    <w:p w:rsidR="00205E5E" w:rsidRDefault="00205E5E" w:rsidP="00205E5E">
      <w:pPr>
        <w:spacing w:after="8"/>
        <w:rPr>
          <w:sz w:val="6"/>
        </w:rPr>
      </w:pPr>
    </w:p>
    <w:p w:rsidR="00205E5E" w:rsidRDefault="00205E5E" w:rsidP="00205E5E">
      <w:pPr>
        <w:spacing w:before="120"/>
        <w:ind w:firstLine="180"/>
      </w:pPr>
      <w:r>
        <w:t xml:space="preserve">For klasse XI og </w:t>
      </w:r>
      <w:proofErr w:type="spellStart"/>
      <w:r>
        <w:t>XII</w:t>
      </w:r>
      <w:proofErr w:type="spellEnd"/>
      <w:r>
        <w:t xml:space="preserve"> skal (x) være mindre enn 1. For klasse </w:t>
      </w:r>
      <w:proofErr w:type="spellStart"/>
      <w:r>
        <w:t>XIII</w:t>
      </w:r>
      <w:proofErr w:type="spellEnd"/>
      <w:r>
        <w:t xml:space="preserve"> skal (x) ikke være større enn 1. For klasse </w:t>
      </w:r>
      <w:proofErr w:type="spellStart"/>
      <w:r>
        <w:t>XIV</w:t>
      </w:r>
      <w:proofErr w:type="spellEnd"/>
      <w:r>
        <w:t xml:space="preserve"> skal (x) være større enn 1.</w:t>
      </w:r>
    </w:p>
    <w:p w:rsidR="00205E5E" w:rsidRDefault="00205E5E" w:rsidP="00205E5E">
      <w:pPr>
        <w:spacing w:before="120"/>
        <w:ind w:firstLine="180"/>
      </w:pPr>
      <w:r>
        <w:t xml:space="preserve">Tabell 6 viser Minstedelinger – </w:t>
      </w:r>
      <w:proofErr w:type="spellStart"/>
      <w:r>
        <w:t>enskalavekter</w:t>
      </w:r>
      <w:proofErr w:type="spellEnd"/>
      <w:r>
        <w:t>.</w:t>
      </w:r>
    </w:p>
    <w:p w:rsidR="00205E5E" w:rsidRDefault="00205E5E" w:rsidP="00205E5E">
      <w:pPr>
        <w:spacing w:before="120"/>
        <w:ind w:firstLine="180"/>
        <w:rPr>
          <w:sz w:val="6"/>
        </w:rPr>
      </w:pPr>
    </w:p>
    <w:p w:rsidR="00205E5E" w:rsidRDefault="00205E5E" w:rsidP="00205E5E">
      <w:pPr>
        <w:spacing w:after="4"/>
        <w:rPr>
          <w:i/>
        </w:rPr>
      </w:pPr>
      <w:r>
        <w:rPr>
          <w:i/>
        </w:rPr>
        <w:t>Tabell 6</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298"/>
        <w:gridCol w:w="1298"/>
        <w:gridCol w:w="2596"/>
        <w:gridCol w:w="2337"/>
        <w:gridCol w:w="2337"/>
      </w:tblGrid>
      <w:tr w:rsidR="00205E5E" w:rsidTr="00736021">
        <w:trPr>
          <w:cantSplit/>
        </w:trPr>
        <w:tc>
          <w:tcPr>
            <w:tcW w:w="9866" w:type="dxa"/>
            <w:gridSpan w:val="5"/>
            <w:shd w:val="clear" w:color="auto" w:fill="DCDCDC"/>
            <w:noWrap/>
            <w:tcMar>
              <w:left w:w="20" w:type="dxa"/>
              <w:right w:w="20" w:type="dxa"/>
            </w:tcMar>
          </w:tcPr>
          <w:p w:rsidR="00205E5E" w:rsidRDefault="00205E5E" w:rsidP="00736021">
            <w:pPr>
              <w:spacing w:after="8"/>
              <w:jc w:val="center"/>
            </w:pPr>
            <w:r>
              <w:rPr>
                <w:b/>
                <w:i/>
              </w:rPr>
              <w:t>Antall minstedelinger</w:t>
            </w:r>
            <w:r>
              <w:rPr>
                <w:b/>
              </w:rPr>
              <w:t xml:space="preserve">  </w:t>
            </w:r>
            <w:r>
              <w:rPr>
                <w:b/>
              </w:rPr>
              <w:br/>
              <w:t xml:space="preserve">  </w:t>
            </w:r>
            <w:r>
              <w:rPr>
                <w:b/>
                <w:i/>
              </w:rPr>
              <w:t>n = Maks/e</w:t>
            </w:r>
          </w:p>
        </w:tc>
      </w:tr>
      <w:tr w:rsidR="00205E5E" w:rsidTr="00736021">
        <w:trPr>
          <w:cantSplit/>
        </w:trPr>
        <w:tc>
          <w:tcPr>
            <w:tcW w:w="2596" w:type="dxa"/>
            <w:gridSpan w:val="2"/>
            <w:shd w:val="clear" w:color="auto" w:fill="DCDCDC"/>
            <w:noWrap/>
            <w:tcMar>
              <w:left w:w="20" w:type="dxa"/>
              <w:right w:w="20" w:type="dxa"/>
            </w:tcMar>
          </w:tcPr>
          <w:p w:rsidR="00205E5E" w:rsidRDefault="00205E5E" w:rsidP="00736021">
            <w:pPr>
              <w:spacing w:after="8"/>
            </w:pPr>
            <w:r>
              <w:rPr>
                <w:b/>
                <w:i/>
              </w:rPr>
              <w:t>Nøyaktighetsklasser</w:t>
            </w:r>
          </w:p>
        </w:tc>
        <w:tc>
          <w:tcPr>
            <w:tcW w:w="2596" w:type="dxa"/>
            <w:shd w:val="clear" w:color="auto" w:fill="DCDCDC"/>
            <w:noWrap/>
            <w:tcMar>
              <w:left w:w="20" w:type="dxa"/>
              <w:right w:w="20" w:type="dxa"/>
            </w:tcMar>
          </w:tcPr>
          <w:p w:rsidR="00205E5E" w:rsidRDefault="00205E5E" w:rsidP="00736021">
            <w:pPr>
              <w:spacing w:after="8"/>
            </w:pPr>
            <w:r>
              <w:rPr>
                <w:b/>
                <w:i/>
              </w:rPr>
              <w:t>Minstedeling</w:t>
            </w:r>
          </w:p>
        </w:tc>
        <w:tc>
          <w:tcPr>
            <w:tcW w:w="2337" w:type="dxa"/>
            <w:shd w:val="clear" w:color="auto" w:fill="DCDCDC"/>
            <w:noWrap/>
            <w:tcMar>
              <w:left w:w="20" w:type="dxa"/>
              <w:right w:w="20" w:type="dxa"/>
            </w:tcMar>
          </w:tcPr>
          <w:p w:rsidR="00205E5E" w:rsidRDefault="00205E5E" w:rsidP="00736021">
            <w:pPr>
              <w:spacing w:after="8"/>
              <w:jc w:val="center"/>
            </w:pPr>
            <w:r>
              <w:rPr>
                <w:b/>
                <w:i/>
              </w:rPr>
              <w:t>Minimumsverdi</w:t>
            </w:r>
            <w:r>
              <w:rPr>
                <w:b/>
              </w:rPr>
              <w:t xml:space="preserve">  </w:t>
            </w:r>
            <w:r>
              <w:rPr>
                <w:b/>
              </w:rPr>
              <w:br/>
              <w:t xml:space="preserve">  </w:t>
            </w:r>
            <w:r>
              <w:rPr>
                <w:b/>
                <w:i/>
              </w:rPr>
              <w:t>n = Maks</w:t>
            </w:r>
            <w:r>
              <w:rPr>
                <w:b/>
                <w:i/>
                <w:vertAlign w:val="subscript"/>
              </w:rPr>
              <w:t>i</w:t>
            </w:r>
            <w:r>
              <w:rPr>
                <w:b/>
                <w:i/>
              </w:rPr>
              <w:t xml:space="preserve"> /e</w:t>
            </w:r>
            <w:r>
              <w:rPr>
                <w:b/>
                <w:i/>
                <w:vertAlign w:val="subscript"/>
              </w:rPr>
              <w:t>(i+1)</w:t>
            </w:r>
            <w:r>
              <w:rPr>
                <w:b/>
                <w:i/>
              </w:rPr>
              <w:t xml:space="preserve"> </w:t>
            </w:r>
          </w:p>
        </w:tc>
        <w:tc>
          <w:tcPr>
            <w:tcW w:w="2337" w:type="dxa"/>
            <w:shd w:val="clear" w:color="auto" w:fill="DCDCDC"/>
            <w:noWrap/>
            <w:tcMar>
              <w:left w:w="20" w:type="dxa"/>
              <w:right w:w="20" w:type="dxa"/>
            </w:tcMar>
          </w:tcPr>
          <w:p w:rsidR="00205E5E" w:rsidRDefault="00205E5E" w:rsidP="00736021">
            <w:pPr>
              <w:spacing w:after="8"/>
              <w:jc w:val="center"/>
            </w:pPr>
            <w:r>
              <w:rPr>
                <w:b/>
                <w:i/>
              </w:rPr>
              <w:t>Maksimumsverdi</w:t>
            </w:r>
            <w:r>
              <w:rPr>
                <w:b/>
              </w:rPr>
              <w:t xml:space="preserve">  </w:t>
            </w:r>
            <w:r>
              <w:rPr>
                <w:b/>
              </w:rPr>
              <w:br/>
              <w:t xml:space="preserve">  </w:t>
            </w:r>
            <w:r>
              <w:rPr>
                <w:b/>
                <w:i/>
              </w:rPr>
              <w:t>n = Maks</w:t>
            </w:r>
            <w:r>
              <w:rPr>
                <w:b/>
                <w:i/>
                <w:vertAlign w:val="subscript"/>
              </w:rPr>
              <w:t>i</w:t>
            </w:r>
            <w:r>
              <w:rPr>
                <w:b/>
                <w:i/>
              </w:rPr>
              <w:t xml:space="preserve"> /</w:t>
            </w:r>
            <w:r>
              <w:rPr>
                <w:b/>
                <w:i/>
                <w:vertAlign w:val="subscript"/>
              </w:rPr>
              <w:t>i</w:t>
            </w:r>
            <w:r>
              <w:rPr>
                <w:b/>
                <w:i/>
              </w:rPr>
              <w:t xml:space="preserve"> </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r>
              <w:lastRenderedPageBreak/>
              <w:t>XI</w:t>
            </w:r>
          </w:p>
        </w:tc>
        <w:tc>
          <w:tcPr>
            <w:tcW w:w="1298" w:type="dxa"/>
            <w:shd w:val="clear" w:color="auto" w:fill="FFFFFF"/>
            <w:noWrap/>
            <w:tcMar>
              <w:left w:w="20" w:type="dxa"/>
              <w:right w:w="20" w:type="dxa"/>
            </w:tcMar>
          </w:tcPr>
          <w:p w:rsidR="00205E5E" w:rsidRDefault="00205E5E" w:rsidP="00736021">
            <w:pPr>
              <w:spacing w:after="8"/>
              <w:jc w:val="center"/>
            </w:pPr>
            <w:r>
              <w:t>Y(I)</w:t>
            </w:r>
          </w:p>
        </w:tc>
        <w:tc>
          <w:tcPr>
            <w:tcW w:w="2596" w:type="dxa"/>
            <w:shd w:val="clear" w:color="auto" w:fill="FFFFFF"/>
            <w:noWrap/>
            <w:tcMar>
              <w:left w:w="20" w:type="dxa"/>
              <w:right w:w="20" w:type="dxa"/>
            </w:tcMar>
          </w:tcPr>
          <w:p w:rsidR="00205E5E" w:rsidRDefault="00205E5E" w:rsidP="00736021">
            <w:pPr>
              <w:spacing w:after="8"/>
            </w:pPr>
            <w:r>
              <w:t>0,001 g ≤ e</w:t>
            </w:r>
          </w:p>
        </w:tc>
        <w:tc>
          <w:tcPr>
            <w:tcW w:w="2337" w:type="dxa"/>
            <w:shd w:val="clear" w:color="auto" w:fill="FFFFFF"/>
            <w:noWrap/>
            <w:tcMar>
              <w:left w:w="20" w:type="dxa"/>
              <w:right w:w="20" w:type="dxa"/>
            </w:tcMar>
          </w:tcPr>
          <w:p w:rsidR="00205E5E" w:rsidRDefault="00205E5E" w:rsidP="00736021">
            <w:pPr>
              <w:spacing w:after="8"/>
              <w:jc w:val="center"/>
            </w:pPr>
            <w:r>
              <w:t>50 000</w:t>
            </w:r>
          </w:p>
        </w:tc>
        <w:tc>
          <w:tcPr>
            <w:tcW w:w="2337" w:type="dxa"/>
            <w:shd w:val="clear" w:color="auto" w:fill="FFFFFF"/>
            <w:noWrap/>
            <w:tcMar>
              <w:left w:w="20" w:type="dxa"/>
              <w:right w:w="20" w:type="dxa"/>
            </w:tcMar>
          </w:tcPr>
          <w:p w:rsidR="00205E5E" w:rsidRDefault="00205E5E" w:rsidP="00736021">
            <w:pPr>
              <w:spacing w:after="8"/>
              <w:jc w:val="center"/>
            </w:pPr>
            <w:r>
              <w:t>–</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Y(II)</w:t>
            </w:r>
          </w:p>
        </w:tc>
        <w:tc>
          <w:tcPr>
            <w:tcW w:w="2596" w:type="dxa"/>
            <w:shd w:val="clear" w:color="auto" w:fill="FFFFFF"/>
            <w:noWrap/>
            <w:tcMar>
              <w:left w:w="20" w:type="dxa"/>
              <w:right w:w="20" w:type="dxa"/>
            </w:tcMar>
          </w:tcPr>
          <w:p w:rsidR="00205E5E" w:rsidRDefault="00205E5E" w:rsidP="00736021">
            <w:pPr>
              <w:spacing w:after="8"/>
            </w:pPr>
            <w:r>
              <w:t>0,001 g ≤ e ≤ 0,05 g</w:t>
            </w:r>
          </w:p>
        </w:tc>
        <w:tc>
          <w:tcPr>
            <w:tcW w:w="2337" w:type="dxa"/>
            <w:shd w:val="clear" w:color="auto" w:fill="FFFFFF"/>
            <w:noWrap/>
            <w:tcMar>
              <w:left w:w="20" w:type="dxa"/>
              <w:right w:w="20" w:type="dxa"/>
            </w:tcMar>
          </w:tcPr>
          <w:p w:rsidR="00205E5E" w:rsidRDefault="00205E5E" w:rsidP="00736021">
            <w:pPr>
              <w:spacing w:after="8"/>
              <w:jc w:val="center"/>
            </w:pPr>
            <w:r>
              <w:t>100</w:t>
            </w:r>
          </w:p>
        </w:tc>
        <w:tc>
          <w:tcPr>
            <w:tcW w:w="2337" w:type="dxa"/>
            <w:shd w:val="clear" w:color="auto" w:fill="FFFFFF"/>
            <w:noWrap/>
            <w:tcMar>
              <w:left w:w="20" w:type="dxa"/>
              <w:right w:w="20" w:type="dxa"/>
            </w:tcMar>
          </w:tcPr>
          <w:p w:rsidR="00205E5E" w:rsidRDefault="00205E5E" w:rsidP="00736021">
            <w:pPr>
              <w:spacing w:after="8"/>
              <w:jc w:val="center"/>
            </w:pPr>
            <w:r>
              <w:t>100 000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Y(II)</w:t>
            </w:r>
          </w:p>
        </w:tc>
        <w:tc>
          <w:tcPr>
            <w:tcW w:w="2596" w:type="dxa"/>
            <w:shd w:val="clear" w:color="auto" w:fill="FFFFFF"/>
            <w:noWrap/>
            <w:tcMar>
              <w:left w:w="20" w:type="dxa"/>
              <w:right w:w="20" w:type="dxa"/>
            </w:tcMar>
          </w:tcPr>
          <w:p w:rsidR="00205E5E" w:rsidRDefault="00205E5E" w:rsidP="00736021">
            <w:pPr>
              <w:spacing w:after="8"/>
            </w:pPr>
            <w:r>
              <w:t>0,1 g ≤ e</w:t>
            </w:r>
          </w:p>
        </w:tc>
        <w:tc>
          <w:tcPr>
            <w:tcW w:w="2337" w:type="dxa"/>
            <w:shd w:val="clear" w:color="auto" w:fill="FFFFFF"/>
            <w:noWrap/>
            <w:tcMar>
              <w:left w:w="20" w:type="dxa"/>
              <w:right w:w="20" w:type="dxa"/>
            </w:tcMar>
          </w:tcPr>
          <w:p w:rsidR="00205E5E" w:rsidRDefault="00205E5E" w:rsidP="00736021">
            <w:pPr>
              <w:spacing w:after="8"/>
              <w:jc w:val="center"/>
            </w:pPr>
            <w:r>
              <w:t>5 000</w:t>
            </w:r>
          </w:p>
        </w:tc>
        <w:tc>
          <w:tcPr>
            <w:tcW w:w="2337" w:type="dxa"/>
            <w:shd w:val="clear" w:color="auto" w:fill="FFFFFF"/>
            <w:noWrap/>
            <w:tcMar>
              <w:left w:w="20" w:type="dxa"/>
              <w:right w:w="20" w:type="dxa"/>
            </w:tcMar>
          </w:tcPr>
          <w:p w:rsidR="00205E5E" w:rsidRDefault="00205E5E" w:rsidP="00736021">
            <w:pPr>
              <w:spacing w:after="8"/>
              <w:jc w:val="center"/>
            </w:pPr>
            <w:r>
              <w:t>100 000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Y(a)</w:t>
            </w:r>
          </w:p>
        </w:tc>
        <w:tc>
          <w:tcPr>
            <w:tcW w:w="2596" w:type="dxa"/>
            <w:shd w:val="clear" w:color="auto" w:fill="FFFFFF"/>
            <w:noWrap/>
            <w:tcMar>
              <w:left w:w="20" w:type="dxa"/>
              <w:right w:w="20" w:type="dxa"/>
            </w:tcMar>
          </w:tcPr>
          <w:p w:rsidR="00205E5E" w:rsidRDefault="00205E5E" w:rsidP="00736021">
            <w:pPr>
              <w:spacing w:after="8"/>
            </w:pPr>
            <w:r>
              <w:t>0,1 g ≤ e ≤ 2 g</w:t>
            </w:r>
          </w:p>
        </w:tc>
        <w:tc>
          <w:tcPr>
            <w:tcW w:w="2337" w:type="dxa"/>
            <w:shd w:val="clear" w:color="auto" w:fill="FFFFFF"/>
            <w:noWrap/>
            <w:tcMar>
              <w:left w:w="20" w:type="dxa"/>
              <w:right w:w="20" w:type="dxa"/>
            </w:tcMar>
          </w:tcPr>
          <w:p w:rsidR="00205E5E" w:rsidRDefault="00205E5E" w:rsidP="00736021">
            <w:pPr>
              <w:spacing w:after="8"/>
              <w:jc w:val="center"/>
            </w:pPr>
            <w:r>
              <w:t>100</w:t>
            </w:r>
          </w:p>
        </w:tc>
        <w:tc>
          <w:tcPr>
            <w:tcW w:w="2337" w:type="dxa"/>
            <w:shd w:val="clear" w:color="auto" w:fill="FFFFFF"/>
            <w:noWrap/>
            <w:tcMar>
              <w:left w:w="20" w:type="dxa"/>
              <w:right w:w="20" w:type="dxa"/>
            </w:tcMar>
          </w:tcPr>
          <w:p w:rsidR="00205E5E" w:rsidRDefault="00205E5E" w:rsidP="00736021">
            <w:pPr>
              <w:spacing w:after="8"/>
              <w:jc w:val="center"/>
            </w:pPr>
            <w:r>
              <w:t>10 000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Y(a)</w:t>
            </w:r>
          </w:p>
        </w:tc>
        <w:tc>
          <w:tcPr>
            <w:tcW w:w="2596" w:type="dxa"/>
            <w:shd w:val="clear" w:color="auto" w:fill="FFFFFF"/>
            <w:noWrap/>
            <w:tcMar>
              <w:left w:w="20" w:type="dxa"/>
              <w:right w:w="20" w:type="dxa"/>
            </w:tcMar>
          </w:tcPr>
          <w:p w:rsidR="00205E5E" w:rsidRDefault="00205E5E" w:rsidP="00736021">
            <w:pPr>
              <w:spacing w:after="8"/>
            </w:pPr>
            <w:r>
              <w:t>5 g ≤ e</w:t>
            </w:r>
          </w:p>
        </w:tc>
        <w:tc>
          <w:tcPr>
            <w:tcW w:w="2337" w:type="dxa"/>
            <w:shd w:val="clear" w:color="auto" w:fill="FFFFFF"/>
            <w:noWrap/>
            <w:tcMar>
              <w:left w:w="20" w:type="dxa"/>
              <w:right w:w="20" w:type="dxa"/>
            </w:tcMar>
          </w:tcPr>
          <w:p w:rsidR="00205E5E" w:rsidRDefault="00205E5E" w:rsidP="00736021">
            <w:pPr>
              <w:spacing w:after="8"/>
              <w:jc w:val="center"/>
            </w:pPr>
            <w:r>
              <w:t>500</w:t>
            </w:r>
          </w:p>
        </w:tc>
        <w:tc>
          <w:tcPr>
            <w:tcW w:w="2337" w:type="dxa"/>
            <w:shd w:val="clear" w:color="auto" w:fill="FFFFFF"/>
            <w:noWrap/>
            <w:tcMar>
              <w:left w:w="20" w:type="dxa"/>
              <w:right w:w="20" w:type="dxa"/>
            </w:tcMar>
          </w:tcPr>
          <w:p w:rsidR="00205E5E" w:rsidRDefault="00205E5E" w:rsidP="00736021">
            <w:pPr>
              <w:spacing w:after="8"/>
              <w:jc w:val="center"/>
            </w:pPr>
            <w:r>
              <w:t>10 000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XIV</w:t>
            </w:r>
            <w:proofErr w:type="spellEnd"/>
          </w:p>
        </w:tc>
        <w:tc>
          <w:tcPr>
            <w:tcW w:w="1298" w:type="dxa"/>
            <w:shd w:val="clear" w:color="auto" w:fill="FFFFFF"/>
            <w:noWrap/>
            <w:tcMar>
              <w:left w:w="20" w:type="dxa"/>
              <w:right w:w="20" w:type="dxa"/>
            </w:tcMar>
          </w:tcPr>
          <w:p w:rsidR="00205E5E" w:rsidRDefault="00205E5E" w:rsidP="00736021">
            <w:pPr>
              <w:spacing w:after="8"/>
              <w:jc w:val="center"/>
            </w:pPr>
            <w:r>
              <w:t>Y(b)</w:t>
            </w:r>
          </w:p>
        </w:tc>
        <w:tc>
          <w:tcPr>
            <w:tcW w:w="2596" w:type="dxa"/>
            <w:shd w:val="clear" w:color="auto" w:fill="FFFFFF"/>
            <w:noWrap/>
            <w:tcMar>
              <w:left w:w="20" w:type="dxa"/>
              <w:right w:w="20" w:type="dxa"/>
            </w:tcMar>
          </w:tcPr>
          <w:p w:rsidR="00205E5E" w:rsidRDefault="00205E5E" w:rsidP="00736021">
            <w:pPr>
              <w:spacing w:after="8"/>
            </w:pPr>
            <w:r>
              <w:t>5 g ≤ e</w:t>
            </w:r>
          </w:p>
        </w:tc>
        <w:tc>
          <w:tcPr>
            <w:tcW w:w="2337" w:type="dxa"/>
            <w:shd w:val="clear" w:color="auto" w:fill="FFFFFF"/>
            <w:noWrap/>
            <w:tcMar>
              <w:left w:w="20" w:type="dxa"/>
              <w:right w:w="20" w:type="dxa"/>
            </w:tcMar>
          </w:tcPr>
          <w:p w:rsidR="00205E5E" w:rsidRDefault="00205E5E" w:rsidP="00736021">
            <w:pPr>
              <w:spacing w:after="8"/>
              <w:jc w:val="center"/>
            </w:pPr>
            <w:r>
              <w:t>100</w:t>
            </w:r>
          </w:p>
        </w:tc>
        <w:tc>
          <w:tcPr>
            <w:tcW w:w="2337" w:type="dxa"/>
            <w:shd w:val="clear" w:color="auto" w:fill="FFFFFF"/>
            <w:noWrap/>
            <w:tcMar>
              <w:left w:w="20" w:type="dxa"/>
              <w:right w:w="20" w:type="dxa"/>
            </w:tcMar>
          </w:tcPr>
          <w:p w:rsidR="00205E5E" w:rsidRDefault="00205E5E" w:rsidP="00736021">
            <w:pPr>
              <w:spacing w:after="8"/>
              <w:jc w:val="center"/>
            </w:pPr>
          </w:p>
        </w:tc>
      </w:tr>
    </w:tbl>
    <w:p w:rsidR="00205E5E" w:rsidRDefault="00205E5E" w:rsidP="00205E5E">
      <w:pPr>
        <w:spacing w:after="8"/>
        <w:rPr>
          <w:sz w:val="6"/>
        </w:rPr>
      </w:pPr>
    </w:p>
    <w:p w:rsidR="00205E5E" w:rsidRDefault="00205E5E" w:rsidP="00205E5E">
      <w:pPr>
        <w:spacing w:before="120"/>
        <w:ind w:firstLine="180"/>
      </w:pPr>
      <w:r>
        <w:t xml:space="preserve">Tabell 7 viser Minstedelinger – </w:t>
      </w:r>
      <w:proofErr w:type="spellStart"/>
      <w:r>
        <w:t>flerskalavekter</w:t>
      </w:r>
      <w:proofErr w:type="spellEnd"/>
      <w:r>
        <w:t xml:space="preserve">, der i = 1, </w:t>
      </w:r>
      <w:proofErr w:type="gramStart"/>
      <w:r>
        <w:t>2, ..</w:t>
      </w:r>
      <w:proofErr w:type="gramEnd"/>
      <w:r>
        <w:t xml:space="preserve"> </w:t>
      </w:r>
      <w:proofErr w:type="gramStart"/>
      <w:r>
        <w:t>r</w:t>
      </w:r>
      <w:proofErr w:type="gramEnd"/>
      <w:r>
        <w:t>, i = delvis veieintervall og r = samlet antall delveieområder. For minimumsverdi gjelder tilsvarende kolonne i tabell 6 med e erstattet med e</w:t>
      </w:r>
      <w:r>
        <w:rPr>
          <w:vertAlign w:val="subscript"/>
        </w:rPr>
        <w:t>r</w:t>
      </w:r>
      <w:r>
        <w:t xml:space="preserve"> for i = r.</w:t>
      </w:r>
    </w:p>
    <w:p w:rsidR="00205E5E" w:rsidRDefault="00205E5E" w:rsidP="00205E5E">
      <w:pPr>
        <w:spacing w:before="120"/>
        <w:ind w:firstLine="180"/>
        <w:rPr>
          <w:sz w:val="6"/>
        </w:rPr>
      </w:pPr>
    </w:p>
    <w:p w:rsidR="00205E5E" w:rsidRDefault="00205E5E" w:rsidP="00205E5E">
      <w:pPr>
        <w:spacing w:after="4"/>
        <w:rPr>
          <w:i/>
        </w:rPr>
      </w:pPr>
      <w:r>
        <w:rPr>
          <w:i/>
        </w:rPr>
        <w:t>Tabell 7</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298"/>
        <w:gridCol w:w="1298"/>
        <w:gridCol w:w="2596"/>
        <w:gridCol w:w="2337"/>
        <w:gridCol w:w="2337"/>
      </w:tblGrid>
      <w:tr w:rsidR="00205E5E" w:rsidTr="00736021">
        <w:trPr>
          <w:cantSplit/>
        </w:trPr>
        <w:tc>
          <w:tcPr>
            <w:tcW w:w="9866" w:type="dxa"/>
            <w:gridSpan w:val="5"/>
            <w:shd w:val="clear" w:color="auto" w:fill="DCDCDC"/>
            <w:noWrap/>
            <w:tcMar>
              <w:left w:w="20" w:type="dxa"/>
              <w:right w:w="20" w:type="dxa"/>
            </w:tcMar>
          </w:tcPr>
          <w:p w:rsidR="00205E5E" w:rsidRDefault="00205E5E" w:rsidP="00736021">
            <w:pPr>
              <w:spacing w:after="8"/>
              <w:jc w:val="center"/>
            </w:pPr>
            <w:r>
              <w:rPr>
                <w:b/>
                <w:i/>
              </w:rPr>
              <w:t>Antall minstedeling</w:t>
            </w:r>
            <w:r>
              <w:rPr>
                <w:b/>
              </w:rPr>
              <w:t xml:space="preserve">  </w:t>
            </w:r>
            <w:r>
              <w:rPr>
                <w:b/>
              </w:rPr>
              <w:br/>
              <w:t xml:space="preserve">  </w:t>
            </w:r>
            <w:r>
              <w:rPr>
                <w:b/>
                <w:i/>
              </w:rPr>
              <w:t>n = Maks/e</w:t>
            </w:r>
          </w:p>
        </w:tc>
      </w:tr>
      <w:tr w:rsidR="00205E5E" w:rsidTr="00736021">
        <w:trPr>
          <w:cantSplit/>
        </w:trPr>
        <w:tc>
          <w:tcPr>
            <w:tcW w:w="2596" w:type="dxa"/>
            <w:gridSpan w:val="2"/>
            <w:shd w:val="clear" w:color="auto" w:fill="DCDCDC"/>
            <w:noWrap/>
            <w:tcMar>
              <w:left w:w="20" w:type="dxa"/>
              <w:right w:w="20" w:type="dxa"/>
            </w:tcMar>
          </w:tcPr>
          <w:p w:rsidR="00205E5E" w:rsidRDefault="00205E5E" w:rsidP="00736021">
            <w:pPr>
              <w:spacing w:after="8"/>
            </w:pPr>
            <w:r>
              <w:rPr>
                <w:b/>
                <w:i/>
              </w:rPr>
              <w:t>Nøyaktighetsklasser</w:t>
            </w:r>
          </w:p>
        </w:tc>
        <w:tc>
          <w:tcPr>
            <w:tcW w:w="2596" w:type="dxa"/>
            <w:shd w:val="clear" w:color="auto" w:fill="DCDCDC"/>
            <w:noWrap/>
            <w:tcMar>
              <w:left w:w="20" w:type="dxa"/>
              <w:right w:w="20" w:type="dxa"/>
            </w:tcMar>
          </w:tcPr>
          <w:p w:rsidR="00205E5E" w:rsidRDefault="00205E5E" w:rsidP="00736021">
            <w:pPr>
              <w:spacing w:after="8"/>
            </w:pPr>
            <w:r>
              <w:rPr>
                <w:b/>
                <w:i/>
              </w:rPr>
              <w:t>Minstedeling</w:t>
            </w:r>
          </w:p>
        </w:tc>
        <w:tc>
          <w:tcPr>
            <w:tcW w:w="2337" w:type="dxa"/>
            <w:shd w:val="clear" w:color="auto" w:fill="DCDCDC"/>
            <w:noWrap/>
            <w:tcMar>
              <w:left w:w="20" w:type="dxa"/>
              <w:right w:w="20" w:type="dxa"/>
            </w:tcMar>
          </w:tcPr>
          <w:p w:rsidR="00205E5E" w:rsidRDefault="00205E5E" w:rsidP="00736021">
            <w:pPr>
              <w:spacing w:after="8"/>
              <w:jc w:val="center"/>
            </w:pPr>
            <w:r>
              <w:rPr>
                <w:b/>
                <w:i/>
              </w:rPr>
              <w:t>Minimumsverdi</w:t>
            </w:r>
            <w:r>
              <w:rPr>
                <w:b/>
              </w:rPr>
              <w:t xml:space="preserve">  </w:t>
            </w:r>
            <w:r>
              <w:rPr>
                <w:b/>
              </w:rPr>
              <w:br/>
              <w:t xml:space="preserve">  </w:t>
            </w:r>
            <w:r>
              <w:rPr>
                <w:b/>
                <w:i/>
              </w:rPr>
              <w:t>n = Maks</w:t>
            </w:r>
            <w:r>
              <w:rPr>
                <w:b/>
                <w:i/>
                <w:vertAlign w:val="subscript"/>
              </w:rPr>
              <w:t>i</w:t>
            </w:r>
            <w:r>
              <w:rPr>
                <w:b/>
                <w:i/>
              </w:rPr>
              <w:t xml:space="preserve"> /e</w:t>
            </w:r>
            <w:r>
              <w:rPr>
                <w:b/>
                <w:i/>
                <w:vertAlign w:val="subscript"/>
              </w:rPr>
              <w:t>(i+1)</w:t>
            </w:r>
            <w:r>
              <w:rPr>
                <w:b/>
                <w:i/>
              </w:rPr>
              <w:t xml:space="preserve"> </w:t>
            </w:r>
          </w:p>
        </w:tc>
        <w:tc>
          <w:tcPr>
            <w:tcW w:w="2337" w:type="dxa"/>
            <w:shd w:val="clear" w:color="auto" w:fill="DCDCDC"/>
            <w:noWrap/>
            <w:tcMar>
              <w:left w:w="20" w:type="dxa"/>
              <w:right w:w="20" w:type="dxa"/>
            </w:tcMar>
          </w:tcPr>
          <w:p w:rsidR="00205E5E" w:rsidRDefault="00205E5E" w:rsidP="00736021">
            <w:pPr>
              <w:spacing w:after="8"/>
              <w:jc w:val="center"/>
            </w:pPr>
            <w:r>
              <w:rPr>
                <w:b/>
                <w:i/>
              </w:rPr>
              <w:t>Maksimumsverdi</w:t>
            </w:r>
            <w:r>
              <w:rPr>
                <w:b/>
              </w:rPr>
              <w:t xml:space="preserve">  </w:t>
            </w:r>
            <w:r>
              <w:rPr>
                <w:b/>
              </w:rPr>
              <w:br/>
              <w:t xml:space="preserve">  </w:t>
            </w:r>
            <w:r>
              <w:rPr>
                <w:b/>
                <w:i/>
              </w:rPr>
              <w:t>n = Maks</w:t>
            </w:r>
            <w:r>
              <w:rPr>
                <w:b/>
                <w:i/>
                <w:vertAlign w:val="subscript"/>
              </w:rPr>
              <w:t>i</w:t>
            </w:r>
            <w:r>
              <w:rPr>
                <w:b/>
                <w:i/>
              </w:rPr>
              <w:t xml:space="preserve"> /e</w:t>
            </w:r>
            <w:r>
              <w:rPr>
                <w:b/>
                <w:i/>
                <w:vertAlign w:val="subscript"/>
              </w:rPr>
              <w:t>i</w:t>
            </w:r>
            <w:r>
              <w:rPr>
                <w:b/>
                <w:i/>
              </w:rPr>
              <w:t xml:space="preserve"> </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r>
              <w:t>XI</w:t>
            </w:r>
          </w:p>
        </w:tc>
        <w:tc>
          <w:tcPr>
            <w:tcW w:w="1298" w:type="dxa"/>
            <w:shd w:val="clear" w:color="auto" w:fill="FFFFFF"/>
            <w:noWrap/>
            <w:tcMar>
              <w:left w:w="20" w:type="dxa"/>
              <w:right w:w="20" w:type="dxa"/>
            </w:tcMar>
          </w:tcPr>
          <w:p w:rsidR="00205E5E" w:rsidRDefault="00205E5E" w:rsidP="00736021">
            <w:pPr>
              <w:spacing w:after="8"/>
              <w:jc w:val="center"/>
            </w:pPr>
            <w:r>
              <w:t>Y(I)</w:t>
            </w:r>
          </w:p>
        </w:tc>
        <w:tc>
          <w:tcPr>
            <w:tcW w:w="2596" w:type="dxa"/>
            <w:shd w:val="clear" w:color="auto" w:fill="FFFFFF"/>
            <w:noWrap/>
            <w:tcMar>
              <w:left w:w="20" w:type="dxa"/>
              <w:right w:w="20" w:type="dxa"/>
            </w:tcMar>
          </w:tcPr>
          <w:p w:rsidR="00205E5E" w:rsidRDefault="00205E5E" w:rsidP="00736021">
            <w:pPr>
              <w:spacing w:after="8"/>
            </w:pPr>
            <w:r>
              <w:t>0,001 g ≤ e</w:t>
            </w:r>
            <w:r>
              <w:rPr>
                <w:vertAlign w:val="subscript"/>
              </w:rPr>
              <w:t>i</w:t>
            </w:r>
          </w:p>
        </w:tc>
        <w:tc>
          <w:tcPr>
            <w:tcW w:w="2337" w:type="dxa"/>
            <w:shd w:val="clear" w:color="auto" w:fill="FFFFFF"/>
            <w:noWrap/>
            <w:tcMar>
              <w:left w:w="20" w:type="dxa"/>
              <w:right w:w="20" w:type="dxa"/>
            </w:tcMar>
          </w:tcPr>
          <w:p w:rsidR="00205E5E" w:rsidRDefault="00205E5E" w:rsidP="00736021">
            <w:pPr>
              <w:spacing w:after="8"/>
              <w:jc w:val="center"/>
            </w:pPr>
            <w:r>
              <w:t>50 000</w:t>
            </w:r>
          </w:p>
        </w:tc>
        <w:tc>
          <w:tcPr>
            <w:tcW w:w="2337" w:type="dxa"/>
            <w:shd w:val="clear" w:color="auto" w:fill="FFFFFF"/>
            <w:noWrap/>
            <w:tcMar>
              <w:left w:w="20" w:type="dxa"/>
              <w:right w:w="20" w:type="dxa"/>
            </w:tcMar>
          </w:tcPr>
          <w:p w:rsidR="00205E5E" w:rsidRDefault="00205E5E" w:rsidP="00736021">
            <w:pPr>
              <w:spacing w:after="8"/>
              <w:jc w:val="center"/>
            </w:pPr>
            <w:r>
              <w:t>–</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Y(II)</w:t>
            </w:r>
          </w:p>
        </w:tc>
        <w:tc>
          <w:tcPr>
            <w:tcW w:w="2596" w:type="dxa"/>
            <w:shd w:val="clear" w:color="auto" w:fill="FFFFFF"/>
            <w:noWrap/>
            <w:tcMar>
              <w:left w:w="20" w:type="dxa"/>
              <w:right w:w="20" w:type="dxa"/>
            </w:tcMar>
          </w:tcPr>
          <w:p w:rsidR="00205E5E" w:rsidRDefault="00205E5E" w:rsidP="00736021">
            <w:pPr>
              <w:spacing w:after="8"/>
            </w:pPr>
            <w:r>
              <w:t>0,001 g ≤ e</w:t>
            </w:r>
            <w:r>
              <w:rPr>
                <w:vertAlign w:val="subscript"/>
              </w:rPr>
              <w:t>i</w:t>
            </w:r>
            <w:r>
              <w:t xml:space="preserve"> ≤ 0,05 g</w:t>
            </w:r>
          </w:p>
        </w:tc>
        <w:tc>
          <w:tcPr>
            <w:tcW w:w="2337" w:type="dxa"/>
            <w:shd w:val="clear" w:color="auto" w:fill="FFFFFF"/>
            <w:noWrap/>
            <w:tcMar>
              <w:left w:w="20" w:type="dxa"/>
              <w:right w:w="20" w:type="dxa"/>
            </w:tcMar>
          </w:tcPr>
          <w:p w:rsidR="00205E5E" w:rsidRDefault="00205E5E" w:rsidP="00736021">
            <w:pPr>
              <w:spacing w:after="8"/>
              <w:jc w:val="center"/>
            </w:pPr>
            <w:r>
              <w:t>5 000</w:t>
            </w:r>
          </w:p>
        </w:tc>
        <w:tc>
          <w:tcPr>
            <w:tcW w:w="2337" w:type="dxa"/>
            <w:shd w:val="clear" w:color="auto" w:fill="FFFFFF"/>
            <w:noWrap/>
            <w:tcMar>
              <w:left w:w="20" w:type="dxa"/>
              <w:right w:w="20" w:type="dxa"/>
            </w:tcMar>
          </w:tcPr>
          <w:p w:rsidR="00205E5E" w:rsidRDefault="00205E5E" w:rsidP="00736021">
            <w:pPr>
              <w:spacing w:after="8"/>
              <w:jc w:val="center"/>
            </w:pPr>
            <w:r>
              <w:t>100 000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Y(II)</w:t>
            </w:r>
          </w:p>
        </w:tc>
        <w:tc>
          <w:tcPr>
            <w:tcW w:w="2596" w:type="dxa"/>
            <w:shd w:val="clear" w:color="auto" w:fill="FFFFFF"/>
            <w:noWrap/>
            <w:tcMar>
              <w:left w:w="20" w:type="dxa"/>
              <w:right w:w="20" w:type="dxa"/>
            </w:tcMar>
          </w:tcPr>
          <w:p w:rsidR="00205E5E" w:rsidRDefault="00205E5E" w:rsidP="00736021">
            <w:pPr>
              <w:spacing w:after="8"/>
            </w:pPr>
            <w:r>
              <w:t>0,1 g ≤ e</w:t>
            </w:r>
            <w:r>
              <w:rPr>
                <w:vertAlign w:val="subscript"/>
              </w:rPr>
              <w:t>i</w:t>
            </w:r>
          </w:p>
        </w:tc>
        <w:tc>
          <w:tcPr>
            <w:tcW w:w="2337" w:type="dxa"/>
            <w:shd w:val="clear" w:color="auto" w:fill="FFFFFF"/>
            <w:noWrap/>
            <w:tcMar>
              <w:left w:w="20" w:type="dxa"/>
              <w:right w:w="20" w:type="dxa"/>
            </w:tcMar>
          </w:tcPr>
          <w:p w:rsidR="00205E5E" w:rsidRDefault="00205E5E" w:rsidP="00736021">
            <w:pPr>
              <w:spacing w:after="8"/>
              <w:jc w:val="center"/>
            </w:pPr>
            <w:r>
              <w:t>5 000</w:t>
            </w:r>
          </w:p>
        </w:tc>
        <w:tc>
          <w:tcPr>
            <w:tcW w:w="2337" w:type="dxa"/>
            <w:shd w:val="clear" w:color="auto" w:fill="FFFFFF"/>
            <w:noWrap/>
            <w:tcMar>
              <w:left w:w="20" w:type="dxa"/>
              <w:right w:w="20" w:type="dxa"/>
            </w:tcMar>
          </w:tcPr>
          <w:p w:rsidR="00205E5E" w:rsidRDefault="00205E5E" w:rsidP="00736021">
            <w:pPr>
              <w:spacing w:after="8"/>
              <w:jc w:val="center"/>
            </w:pPr>
            <w:r>
              <w:t>100 000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XIII</w:t>
            </w:r>
            <w:proofErr w:type="spellEnd"/>
          </w:p>
        </w:tc>
        <w:tc>
          <w:tcPr>
            <w:tcW w:w="1298" w:type="dxa"/>
            <w:shd w:val="clear" w:color="auto" w:fill="FFFFFF"/>
            <w:noWrap/>
            <w:tcMar>
              <w:left w:w="20" w:type="dxa"/>
              <w:right w:w="20" w:type="dxa"/>
            </w:tcMar>
          </w:tcPr>
          <w:p w:rsidR="00205E5E" w:rsidRDefault="00205E5E" w:rsidP="00736021">
            <w:pPr>
              <w:spacing w:after="8"/>
              <w:jc w:val="center"/>
            </w:pPr>
            <w:r>
              <w:t>Y(a)</w:t>
            </w:r>
          </w:p>
        </w:tc>
        <w:tc>
          <w:tcPr>
            <w:tcW w:w="2596" w:type="dxa"/>
            <w:shd w:val="clear" w:color="auto" w:fill="FFFFFF"/>
            <w:noWrap/>
            <w:tcMar>
              <w:left w:w="20" w:type="dxa"/>
              <w:right w:w="20" w:type="dxa"/>
            </w:tcMar>
          </w:tcPr>
          <w:p w:rsidR="00205E5E" w:rsidRDefault="00205E5E" w:rsidP="00736021">
            <w:pPr>
              <w:spacing w:after="8"/>
            </w:pPr>
            <w:r>
              <w:t>0,1 g ≤ e</w:t>
            </w:r>
            <w:r>
              <w:rPr>
                <w:vertAlign w:val="subscript"/>
              </w:rPr>
              <w:t>i</w:t>
            </w:r>
          </w:p>
        </w:tc>
        <w:tc>
          <w:tcPr>
            <w:tcW w:w="2337" w:type="dxa"/>
            <w:shd w:val="clear" w:color="auto" w:fill="FFFFFF"/>
            <w:noWrap/>
            <w:tcMar>
              <w:left w:w="20" w:type="dxa"/>
              <w:right w:w="20" w:type="dxa"/>
            </w:tcMar>
          </w:tcPr>
          <w:p w:rsidR="00205E5E" w:rsidRDefault="00205E5E" w:rsidP="00736021">
            <w:pPr>
              <w:spacing w:after="8"/>
              <w:jc w:val="center"/>
            </w:pPr>
            <w:r>
              <w:t>500</w:t>
            </w:r>
          </w:p>
        </w:tc>
        <w:tc>
          <w:tcPr>
            <w:tcW w:w="2337" w:type="dxa"/>
            <w:shd w:val="clear" w:color="auto" w:fill="FFFFFF"/>
            <w:noWrap/>
            <w:tcMar>
              <w:left w:w="20" w:type="dxa"/>
              <w:right w:w="20" w:type="dxa"/>
            </w:tcMar>
          </w:tcPr>
          <w:p w:rsidR="00205E5E" w:rsidRDefault="00205E5E" w:rsidP="00736021">
            <w:pPr>
              <w:spacing w:after="8"/>
              <w:jc w:val="center"/>
            </w:pPr>
            <w:r>
              <w:t>10 000</w:t>
            </w:r>
          </w:p>
        </w:tc>
      </w:tr>
      <w:tr w:rsidR="00205E5E" w:rsidTr="00736021">
        <w:tc>
          <w:tcPr>
            <w:tcW w:w="1298" w:type="dxa"/>
            <w:shd w:val="clear" w:color="auto" w:fill="FFFFFF"/>
            <w:noWrap/>
            <w:tcMar>
              <w:left w:w="20" w:type="dxa"/>
              <w:right w:w="20" w:type="dxa"/>
            </w:tcMar>
          </w:tcPr>
          <w:p w:rsidR="00205E5E" w:rsidRDefault="00205E5E" w:rsidP="00736021">
            <w:pPr>
              <w:spacing w:after="8"/>
              <w:jc w:val="center"/>
            </w:pPr>
            <w:proofErr w:type="spellStart"/>
            <w:r>
              <w:t>XIV</w:t>
            </w:r>
            <w:proofErr w:type="spellEnd"/>
          </w:p>
        </w:tc>
        <w:tc>
          <w:tcPr>
            <w:tcW w:w="1298" w:type="dxa"/>
            <w:shd w:val="clear" w:color="auto" w:fill="FFFFFF"/>
            <w:noWrap/>
            <w:tcMar>
              <w:left w:w="20" w:type="dxa"/>
              <w:right w:w="20" w:type="dxa"/>
            </w:tcMar>
          </w:tcPr>
          <w:p w:rsidR="00205E5E" w:rsidRDefault="00205E5E" w:rsidP="00736021">
            <w:pPr>
              <w:spacing w:after="8"/>
              <w:jc w:val="center"/>
            </w:pPr>
            <w:r>
              <w:t>Y(b)</w:t>
            </w:r>
          </w:p>
        </w:tc>
        <w:tc>
          <w:tcPr>
            <w:tcW w:w="2596" w:type="dxa"/>
            <w:shd w:val="clear" w:color="auto" w:fill="FFFFFF"/>
            <w:noWrap/>
            <w:tcMar>
              <w:left w:w="20" w:type="dxa"/>
              <w:right w:w="20" w:type="dxa"/>
            </w:tcMar>
          </w:tcPr>
          <w:p w:rsidR="00205E5E" w:rsidRDefault="00205E5E" w:rsidP="00736021">
            <w:pPr>
              <w:spacing w:after="8"/>
            </w:pPr>
            <w:r>
              <w:t>5 g ≤ e</w:t>
            </w:r>
            <w:r>
              <w:rPr>
                <w:vertAlign w:val="subscript"/>
              </w:rPr>
              <w:t>i</w:t>
            </w:r>
          </w:p>
        </w:tc>
        <w:tc>
          <w:tcPr>
            <w:tcW w:w="2337" w:type="dxa"/>
            <w:shd w:val="clear" w:color="auto" w:fill="FFFFFF"/>
            <w:noWrap/>
            <w:tcMar>
              <w:left w:w="20" w:type="dxa"/>
              <w:right w:w="20" w:type="dxa"/>
            </w:tcMar>
          </w:tcPr>
          <w:p w:rsidR="00205E5E" w:rsidRDefault="00205E5E" w:rsidP="00736021">
            <w:pPr>
              <w:spacing w:after="8"/>
              <w:jc w:val="center"/>
            </w:pPr>
            <w:r>
              <w:t>50</w:t>
            </w:r>
          </w:p>
        </w:tc>
        <w:tc>
          <w:tcPr>
            <w:tcW w:w="2337" w:type="dxa"/>
            <w:shd w:val="clear" w:color="auto" w:fill="FFFFFF"/>
            <w:noWrap/>
            <w:tcMar>
              <w:left w:w="20" w:type="dxa"/>
              <w:right w:w="20" w:type="dxa"/>
            </w:tcMar>
          </w:tcPr>
          <w:p w:rsidR="00205E5E" w:rsidRDefault="00205E5E" w:rsidP="00736021">
            <w:pPr>
              <w:spacing w:after="8"/>
              <w:jc w:val="center"/>
            </w:pPr>
            <w:r>
              <w:t>1 000</w:t>
            </w:r>
          </w:p>
        </w:tc>
      </w:tr>
    </w:tbl>
    <w:p w:rsidR="00205E5E" w:rsidRDefault="00205E5E" w:rsidP="00205E5E">
      <w:pPr>
        <w:spacing w:after="8"/>
      </w:pPr>
      <w:bookmarkStart w:id="65" w:name="PARAGRAF_32"/>
      <w:bookmarkEnd w:id="63"/>
    </w:p>
    <w:p w:rsidR="00205E5E" w:rsidRDefault="00205E5E" w:rsidP="00205E5E"/>
    <w:p w:rsidR="00205E5E" w:rsidRDefault="00205E5E" w:rsidP="00205E5E">
      <w:pPr>
        <w:rPr>
          <w:b/>
        </w:rPr>
      </w:pPr>
      <w:bookmarkStart w:id="66" w:name="§32"/>
      <w:bookmarkEnd w:id="66"/>
      <w:r>
        <w:rPr>
          <w:b/>
        </w:rPr>
        <w:t>§ 32.</w:t>
      </w:r>
      <w:r>
        <w:t xml:space="preserve"> </w:t>
      </w:r>
      <w:proofErr w:type="spellStart"/>
      <w:r>
        <w:rPr>
          <w:b/>
          <w:i/>
        </w:rPr>
        <w:t>Måleområder</w:t>
      </w:r>
      <w:proofErr w:type="spellEnd"/>
    </w:p>
    <w:p w:rsidR="00205E5E" w:rsidRDefault="00205E5E" w:rsidP="00205E5E">
      <w:pPr>
        <w:spacing w:before="120"/>
        <w:ind w:firstLine="180"/>
      </w:pPr>
      <w:r>
        <w:t xml:space="preserve">Ved angivelse av </w:t>
      </w:r>
      <w:proofErr w:type="spellStart"/>
      <w:r>
        <w:t>måleområder</w:t>
      </w:r>
      <w:proofErr w:type="spellEnd"/>
      <w:r>
        <w:t xml:space="preserve"> for catchvekter i klasse Y skal produsenten ta hensyn til at minimum kapasitet ikke skal være mindre enn angitt i tabell 8.</w:t>
      </w:r>
    </w:p>
    <w:p w:rsidR="00205E5E" w:rsidRDefault="00205E5E" w:rsidP="00205E5E">
      <w:pPr>
        <w:spacing w:before="120"/>
        <w:ind w:firstLine="180"/>
        <w:rPr>
          <w:sz w:val="6"/>
        </w:rPr>
      </w:pPr>
    </w:p>
    <w:p w:rsidR="00205E5E" w:rsidRDefault="00205E5E" w:rsidP="00205E5E">
      <w:pPr>
        <w:spacing w:after="4"/>
        <w:rPr>
          <w:i/>
        </w:rPr>
      </w:pPr>
      <w:r>
        <w:rPr>
          <w:i/>
        </w:rPr>
        <w:t>Tabell 8</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894"/>
        <w:gridCol w:w="5972"/>
      </w:tblGrid>
      <w:tr w:rsidR="00205E5E" w:rsidTr="00736021">
        <w:tc>
          <w:tcPr>
            <w:tcW w:w="3894" w:type="dxa"/>
            <w:shd w:val="clear" w:color="auto" w:fill="FFFFFF"/>
            <w:noWrap/>
            <w:tcMar>
              <w:left w:w="20" w:type="dxa"/>
              <w:right w:w="20" w:type="dxa"/>
            </w:tcMar>
          </w:tcPr>
          <w:p w:rsidR="00205E5E" w:rsidRDefault="00205E5E" w:rsidP="00736021">
            <w:pPr>
              <w:spacing w:after="8"/>
            </w:pPr>
            <w:proofErr w:type="gramStart"/>
            <w:r>
              <w:t>klasse</w:t>
            </w:r>
            <w:proofErr w:type="gramEnd"/>
            <w:r>
              <w:t xml:space="preserve"> Y(I):</w:t>
            </w:r>
          </w:p>
        </w:tc>
        <w:tc>
          <w:tcPr>
            <w:tcW w:w="5972" w:type="dxa"/>
            <w:shd w:val="clear" w:color="auto" w:fill="FFFFFF"/>
            <w:noWrap/>
            <w:tcMar>
              <w:left w:w="20" w:type="dxa"/>
              <w:right w:w="20" w:type="dxa"/>
            </w:tcMar>
          </w:tcPr>
          <w:p w:rsidR="00205E5E" w:rsidRDefault="00205E5E" w:rsidP="00736021">
            <w:pPr>
              <w:spacing w:after="8"/>
            </w:pPr>
            <w:r>
              <w:t>100 e</w:t>
            </w:r>
          </w:p>
        </w:tc>
      </w:tr>
      <w:tr w:rsidR="00205E5E" w:rsidTr="00736021">
        <w:tc>
          <w:tcPr>
            <w:tcW w:w="3894" w:type="dxa"/>
            <w:shd w:val="clear" w:color="auto" w:fill="FFFFFF"/>
            <w:noWrap/>
            <w:tcMar>
              <w:left w:w="20" w:type="dxa"/>
              <w:right w:w="20" w:type="dxa"/>
            </w:tcMar>
          </w:tcPr>
          <w:p w:rsidR="00205E5E" w:rsidRDefault="00205E5E" w:rsidP="00736021">
            <w:pPr>
              <w:spacing w:after="8"/>
            </w:pPr>
            <w:proofErr w:type="gramStart"/>
            <w:r>
              <w:t>klasse</w:t>
            </w:r>
            <w:proofErr w:type="gramEnd"/>
            <w:r>
              <w:t xml:space="preserve"> Y(II):</w:t>
            </w:r>
          </w:p>
        </w:tc>
        <w:tc>
          <w:tcPr>
            <w:tcW w:w="5972" w:type="dxa"/>
            <w:shd w:val="clear" w:color="auto" w:fill="FFFFFF"/>
            <w:noWrap/>
            <w:tcMar>
              <w:left w:w="20" w:type="dxa"/>
              <w:right w:w="20" w:type="dxa"/>
            </w:tcMar>
          </w:tcPr>
          <w:p w:rsidR="00205E5E" w:rsidRDefault="00205E5E" w:rsidP="00736021">
            <w:pPr>
              <w:spacing w:after="8"/>
            </w:pPr>
            <w:r>
              <w:t xml:space="preserve">20 e for 0,001 g ≤ e ≤ 0,05 g, og 50 e for 0,1 </w:t>
            </w:r>
            <w:proofErr w:type="gramStart"/>
            <w:r>
              <w:t>g  ≤</w:t>
            </w:r>
            <w:proofErr w:type="gramEnd"/>
            <w:r>
              <w:t xml:space="preserve"> e</w:t>
            </w:r>
          </w:p>
        </w:tc>
      </w:tr>
      <w:tr w:rsidR="00205E5E" w:rsidTr="00736021">
        <w:tc>
          <w:tcPr>
            <w:tcW w:w="3894" w:type="dxa"/>
            <w:shd w:val="clear" w:color="auto" w:fill="FFFFFF"/>
            <w:noWrap/>
            <w:tcMar>
              <w:left w:w="20" w:type="dxa"/>
              <w:right w:w="20" w:type="dxa"/>
            </w:tcMar>
          </w:tcPr>
          <w:p w:rsidR="00205E5E" w:rsidRDefault="00205E5E" w:rsidP="00736021">
            <w:pPr>
              <w:spacing w:after="8"/>
            </w:pPr>
            <w:proofErr w:type="gramStart"/>
            <w:r>
              <w:t>klasse</w:t>
            </w:r>
            <w:proofErr w:type="gramEnd"/>
            <w:r>
              <w:t xml:space="preserve"> Y(a):</w:t>
            </w:r>
          </w:p>
        </w:tc>
        <w:tc>
          <w:tcPr>
            <w:tcW w:w="5972" w:type="dxa"/>
            <w:shd w:val="clear" w:color="auto" w:fill="FFFFFF"/>
            <w:noWrap/>
            <w:tcMar>
              <w:left w:w="20" w:type="dxa"/>
              <w:right w:w="20" w:type="dxa"/>
            </w:tcMar>
          </w:tcPr>
          <w:p w:rsidR="00205E5E" w:rsidRDefault="00205E5E" w:rsidP="00736021">
            <w:pPr>
              <w:spacing w:after="8"/>
            </w:pPr>
            <w:r>
              <w:t>20 e</w:t>
            </w:r>
          </w:p>
        </w:tc>
      </w:tr>
      <w:tr w:rsidR="00205E5E" w:rsidTr="00736021">
        <w:tc>
          <w:tcPr>
            <w:tcW w:w="3894" w:type="dxa"/>
            <w:shd w:val="clear" w:color="auto" w:fill="FFFFFF"/>
            <w:noWrap/>
            <w:tcMar>
              <w:left w:w="20" w:type="dxa"/>
              <w:right w:w="20" w:type="dxa"/>
            </w:tcMar>
          </w:tcPr>
          <w:p w:rsidR="00205E5E" w:rsidRDefault="00205E5E" w:rsidP="00736021">
            <w:pPr>
              <w:spacing w:after="8"/>
            </w:pPr>
            <w:proofErr w:type="gramStart"/>
            <w:r>
              <w:t>klasse</w:t>
            </w:r>
            <w:proofErr w:type="gramEnd"/>
            <w:r>
              <w:t xml:space="preserve"> Y(b):</w:t>
            </w:r>
          </w:p>
        </w:tc>
        <w:tc>
          <w:tcPr>
            <w:tcW w:w="5972" w:type="dxa"/>
            <w:shd w:val="clear" w:color="auto" w:fill="FFFFFF"/>
            <w:noWrap/>
            <w:tcMar>
              <w:left w:w="20" w:type="dxa"/>
              <w:right w:w="20" w:type="dxa"/>
            </w:tcMar>
          </w:tcPr>
          <w:p w:rsidR="00205E5E" w:rsidRDefault="00205E5E" w:rsidP="00736021">
            <w:pPr>
              <w:spacing w:after="8"/>
            </w:pPr>
            <w:r>
              <w:t>10 e</w:t>
            </w:r>
          </w:p>
        </w:tc>
      </w:tr>
      <w:tr w:rsidR="00205E5E" w:rsidTr="00736021">
        <w:tc>
          <w:tcPr>
            <w:tcW w:w="3894" w:type="dxa"/>
            <w:shd w:val="clear" w:color="auto" w:fill="FFFFFF"/>
            <w:noWrap/>
            <w:tcMar>
              <w:left w:w="20" w:type="dxa"/>
              <w:right w:w="20" w:type="dxa"/>
            </w:tcMar>
          </w:tcPr>
          <w:p w:rsidR="00205E5E" w:rsidRDefault="00205E5E" w:rsidP="00736021">
            <w:pPr>
              <w:spacing w:after="8"/>
            </w:pPr>
            <w:r>
              <w:t>Vekter som benyttes til sortering, f.eks. postvekter og søppelbilvekter</w:t>
            </w:r>
          </w:p>
        </w:tc>
        <w:tc>
          <w:tcPr>
            <w:tcW w:w="5972" w:type="dxa"/>
            <w:shd w:val="clear" w:color="auto" w:fill="FFFFFF"/>
            <w:noWrap/>
            <w:tcMar>
              <w:left w:w="20" w:type="dxa"/>
              <w:right w:w="20" w:type="dxa"/>
            </w:tcMar>
          </w:tcPr>
          <w:p w:rsidR="00205E5E" w:rsidRDefault="00205E5E" w:rsidP="00736021">
            <w:pPr>
              <w:spacing w:after="8"/>
            </w:pPr>
            <w:r>
              <w:t>5 e</w:t>
            </w:r>
          </w:p>
        </w:tc>
      </w:tr>
    </w:tbl>
    <w:p w:rsidR="00205E5E" w:rsidRDefault="00205E5E" w:rsidP="00205E5E">
      <w:pPr>
        <w:spacing w:after="8"/>
      </w:pPr>
      <w:bookmarkStart w:id="67" w:name="PARAGRAF_33"/>
      <w:bookmarkEnd w:id="65"/>
    </w:p>
    <w:p w:rsidR="00205E5E" w:rsidRDefault="00205E5E" w:rsidP="00205E5E"/>
    <w:p w:rsidR="00205E5E" w:rsidRDefault="00205E5E" w:rsidP="00205E5E">
      <w:pPr>
        <w:rPr>
          <w:b/>
        </w:rPr>
      </w:pPr>
      <w:bookmarkStart w:id="68" w:name="§33"/>
      <w:bookmarkEnd w:id="68"/>
      <w:r>
        <w:rPr>
          <w:b/>
        </w:rPr>
        <w:t>§ 33.</w:t>
      </w:r>
      <w:r>
        <w:t xml:space="preserve"> </w:t>
      </w:r>
      <w:r>
        <w:rPr>
          <w:b/>
          <w:i/>
        </w:rPr>
        <w:t>Dynamisk innstilling</w:t>
      </w:r>
    </w:p>
    <w:p w:rsidR="00205E5E" w:rsidRDefault="00205E5E" w:rsidP="00205E5E">
      <w:pPr>
        <w:spacing w:before="120"/>
        <w:ind w:firstLine="180"/>
      </w:pPr>
      <w:r>
        <w:t>Anordningen for dynamisk innstilling skal fungere innenfor et belastningsområde som produsenter angir.</w:t>
      </w:r>
    </w:p>
    <w:p w:rsidR="00205E5E" w:rsidRDefault="00205E5E" w:rsidP="00205E5E">
      <w:pPr>
        <w:spacing w:before="120"/>
        <w:ind w:firstLine="180"/>
      </w:pPr>
      <w:r>
        <w:t>En anordning for dynamisk innstilling som kompenserer for de dynamiske virkningene av last i bevegelse, skal, når den er montert, ha en sperring som hindrer bruk utenfor belastningsområdet, og skal kunne plomberes.</w:t>
      </w:r>
      <w:bookmarkStart w:id="69" w:name="PARAGRAF_34"/>
      <w:bookmarkEnd w:id="67"/>
    </w:p>
    <w:p w:rsidR="00205E5E" w:rsidRDefault="00205E5E" w:rsidP="00205E5E"/>
    <w:p w:rsidR="00205E5E" w:rsidRDefault="00205E5E" w:rsidP="00205E5E">
      <w:pPr>
        <w:rPr>
          <w:b/>
        </w:rPr>
      </w:pPr>
      <w:bookmarkStart w:id="70" w:name="§34"/>
      <w:bookmarkEnd w:id="70"/>
      <w:r>
        <w:rPr>
          <w:b/>
        </w:rPr>
        <w:lastRenderedPageBreak/>
        <w:t>§ 34.</w:t>
      </w:r>
      <w:r>
        <w:t xml:space="preserve"> </w:t>
      </w:r>
      <w:r>
        <w:rPr>
          <w:b/>
          <w:i/>
        </w:rPr>
        <w:t>Testytelse under påvirkningsfaktorer og elektromagnetiske forstyrrelser</w:t>
      </w:r>
    </w:p>
    <w:p w:rsidR="00205E5E" w:rsidRDefault="00205E5E" w:rsidP="00205E5E">
      <w:pPr>
        <w:spacing w:before="120"/>
        <w:ind w:firstLine="180"/>
      </w:pPr>
      <w:r>
        <w:t>Maksimal tillatte feil som følge av påvirkningsfaktorer 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a</w:t>
            </w:r>
            <w:proofErr w:type="gramEnd"/>
            <w:r>
              <w:t>)</w:t>
            </w:r>
          </w:p>
        </w:tc>
        <w:tc>
          <w:tcPr>
            <w:tcW w:w="9506" w:type="dxa"/>
            <w:shd w:val="clear" w:color="auto" w:fill="FFFFFF"/>
            <w:noWrap/>
            <w:tcMar>
              <w:left w:w="20" w:type="dxa"/>
              <w:right w:w="80" w:type="dxa"/>
            </w:tcMar>
          </w:tcPr>
          <w:p w:rsidR="00205E5E" w:rsidRDefault="00205E5E" w:rsidP="00736021">
            <w:r>
              <w:t>For catchvekter i kategori X:</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1.</w:t>
            </w:r>
          </w:p>
        </w:tc>
        <w:tc>
          <w:tcPr>
            <w:tcW w:w="9146" w:type="dxa"/>
            <w:shd w:val="clear" w:color="auto" w:fill="FFFFFF"/>
            <w:noWrap/>
            <w:tcMar>
              <w:left w:w="20" w:type="dxa"/>
              <w:right w:w="80" w:type="dxa"/>
            </w:tcMar>
          </w:tcPr>
          <w:p w:rsidR="00205E5E" w:rsidRDefault="00205E5E" w:rsidP="00736021">
            <w:proofErr w:type="gramStart"/>
            <w:r>
              <w:t>for</w:t>
            </w:r>
            <w:proofErr w:type="gramEnd"/>
            <w:r>
              <w:t xml:space="preserve"> automatisk drift, som angitt i tabell 4 og 5</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2.</w:t>
            </w:r>
          </w:p>
        </w:tc>
        <w:tc>
          <w:tcPr>
            <w:tcW w:w="9146" w:type="dxa"/>
            <w:shd w:val="clear" w:color="auto" w:fill="FFFFFF"/>
            <w:noWrap/>
            <w:tcMar>
              <w:left w:w="20" w:type="dxa"/>
              <w:right w:w="80" w:type="dxa"/>
            </w:tcMar>
          </w:tcPr>
          <w:p w:rsidR="00205E5E" w:rsidRDefault="00205E5E" w:rsidP="00736021">
            <w:proofErr w:type="gramStart"/>
            <w:r>
              <w:t>for</w:t>
            </w:r>
            <w:proofErr w:type="gramEnd"/>
            <w:r>
              <w:t xml:space="preserve"> statisk veiing i ikke-automatisk drift, som angitt i tabell 4</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205E5E" w:rsidTr="00736021">
        <w:tc>
          <w:tcPr>
            <w:tcW w:w="360" w:type="dxa"/>
            <w:shd w:val="clear" w:color="auto" w:fill="FFFFFF"/>
            <w:noWrap/>
            <w:tcMar>
              <w:left w:w="20" w:type="dxa"/>
              <w:right w:w="80" w:type="dxa"/>
            </w:tcMar>
          </w:tcPr>
          <w:p w:rsidR="00205E5E" w:rsidRDefault="00205E5E" w:rsidP="00736021">
            <w:pPr>
              <w:jc w:val="right"/>
            </w:pPr>
            <w:proofErr w:type="gramStart"/>
            <w:r>
              <w:t>b</w:t>
            </w:r>
            <w:proofErr w:type="gramEnd"/>
            <w:r>
              <w:t>)</w:t>
            </w:r>
          </w:p>
        </w:tc>
        <w:tc>
          <w:tcPr>
            <w:tcW w:w="9506" w:type="dxa"/>
            <w:shd w:val="clear" w:color="auto" w:fill="FFFFFF"/>
            <w:noWrap/>
            <w:tcMar>
              <w:left w:w="20" w:type="dxa"/>
              <w:right w:w="80" w:type="dxa"/>
            </w:tcMar>
          </w:tcPr>
          <w:p w:rsidR="00205E5E" w:rsidRDefault="00205E5E" w:rsidP="00736021">
            <w:r>
              <w:t>For catchvekter i kategori Y:</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I.</w:t>
            </w:r>
          </w:p>
        </w:tc>
        <w:tc>
          <w:tcPr>
            <w:tcW w:w="9146" w:type="dxa"/>
            <w:shd w:val="clear" w:color="auto" w:fill="FFFFFF"/>
            <w:noWrap/>
            <w:tcMar>
              <w:left w:w="20" w:type="dxa"/>
              <w:right w:w="80" w:type="dxa"/>
            </w:tcMar>
          </w:tcPr>
          <w:p w:rsidR="00205E5E" w:rsidRDefault="00205E5E" w:rsidP="00736021">
            <w:proofErr w:type="gramStart"/>
            <w:r>
              <w:t>for</w:t>
            </w:r>
            <w:proofErr w:type="gramEnd"/>
            <w:r>
              <w:t xml:space="preserve"> hver belastning i automatisk drift, som angitt i tabell 4</w:t>
            </w:r>
          </w:p>
        </w:tc>
      </w:tr>
    </w:tbl>
    <w:p w:rsidR="00205E5E" w:rsidRDefault="00205E5E" w:rsidP="00205E5E">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205E5E" w:rsidTr="00736021">
        <w:tc>
          <w:tcPr>
            <w:tcW w:w="720" w:type="dxa"/>
            <w:shd w:val="clear" w:color="auto" w:fill="FFFFFF"/>
            <w:noWrap/>
            <w:tcMar>
              <w:left w:w="20" w:type="dxa"/>
              <w:right w:w="80" w:type="dxa"/>
            </w:tcMar>
          </w:tcPr>
          <w:p w:rsidR="00205E5E" w:rsidRDefault="00205E5E" w:rsidP="00736021">
            <w:pPr>
              <w:jc w:val="right"/>
            </w:pPr>
            <w:r>
              <w:t>II.</w:t>
            </w:r>
          </w:p>
        </w:tc>
        <w:tc>
          <w:tcPr>
            <w:tcW w:w="9146" w:type="dxa"/>
            <w:shd w:val="clear" w:color="auto" w:fill="FFFFFF"/>
            <w:noWrap/>
            <w:tcMar>
              <w:left w:w="20" w:type="dxa"/>
              <w:right w:w="80" w:type="dxa"/>
            </w:tcMar>
          </w:tcPr>
          <w:p w:rsidR="00205E5E" w:rsidRDefault="00205E5E" w:rsidP="00736021">
            <w:proofErr w:type="gramStart"/>
            <w:r>
              <w:t>for</w:t>
            </w:r>
            <w:proofErr w:type="gramEnd"/>
            <w:r>
              <w:t xml:space="preserve"> statisk veiing i ikke-automatisk drift, som angitt for kategori </w:t>
            </w:r>
            <w:proofErr w:type="spellStart"/>
            <w:r>
              <w:t>X</w:t>
            </w:r>
            <w:proofErr w:type="spellEnd"/>
            <w:r>
              <w:t xml:space="preserve"> i tabell 4.</w:t>
            </w:r>
          </w:p>
        </w:tc>
      </w:tr>
    </w:tbl>
    <w:p w:rsidR="00205E5E" w:rsidRDefault="00205E5E" w:rsidP="00205E5E">
      <w:pPr>
        <w:rPr>
          <w:sz w:val="6"/>
        </w:rPr>
      </w:pPr>
    </w:p>
    <w:p w:rsidR="00205E5E" w:rsidRDefault="00205E5E" w:rsidP="00205E5E">
      <w:pPr>
        <w:spacing w:before="120"/>
        <w:ind w:firstLine="180"/>
      </w:pPr>
      <w:r>
        <w:t>Den kritiske endringsverdien som følge av en forstyrrelse, er en deling.</w:t>
      </w:r>
    </w:p>
    <w:p w:rsidR="00205E5E" w:rsidRDefault="00205E5E" w:rsidP="00205E5E">
      <w:pPr>
        <w:spacing w:before="120"/>
        <w:ind w:firstLine="180"/>
      </w:pPr>
      <w:r>
        <w:t xml:space="preserve">Temperaturområde for klasse XI og Y(I) er minimum område 5 °C, og for klasse </w:t>
      </w:r>
      <w:proofErr w:type="spellStart"/>
      <w:r>
        <w:t>XII</w:t>
      </w:r>
      <w:proofErr w:type="spellEnd"/>
      <w:r>
        <w:t xml:space="preserve"> og Y(II) er minimum område 15 °C.</w:t>
      </w:r>
      <w:bookmarkStart w:id="71" w:name="KAPITTEL_3"/>
      <w:bookmarkEnd w:id="51"/>
      <w:bookmarkEnd w:id="69"/>
    </w:p>
    <w:p w:rsidR="003B05F2" w:rsidRDefault="003B05F2" w:rsidP="00205E5E">
      <w:pPr>
        <w:spacing w:before="120"/>
        <w:ind w:firstLine="180"/>
      </w:pPr>
    </w:p>
    <w:p w:rsidR="003B05F2" w:rsidRPr="003B05F2" w:rsidRDefault="003B05F2" w:rsidP="003B05F2">
      <w:pPr>
        <w:pStyle w:val="paragraph"/>
        <w:spacing w:before="0" w:beforeAutospacing="0" w:after="0" w:afterAutospacing="0"/>
        <w:ind w:left="348" w:hanging="348"/>
        <w:textAlignment w:val="baseline"/>
        <w:rPr>
          <w:rStyle w:val="eop"/>
          <w:rFonts w:asciiTheme="minorHAnsi" w:hAnsiTheme="minorHAnsi" w:cstheme="minorHAnsi"/>
          <w:b/>
          <w:i/>
          <w:sz w:val="22"/>
          <w:szCs w:val="22"/>
        </w:rPr>
      </w:pPr>
      <w:r w:rsidRPr="003B05F2">
        <w:rPr>
          <w:rStyle w:val="eop"/>
          <w:rFonts w:asciiTheme="minorHAnsi" w:hAnsiTheme="minorHAnsi" w:cstheme="minorHAnsi"/>
          <w:b/>
          <w:sz w:val="22"/>
          <w:szCs w:val="22"/>
        </w:rPr>
        <w:t>§ 34 a.</w:t>
      </w:r>
      <w:r w:rsidRPr="003B05F2">
        <w:rPr>
          <w:rStyle w:val="eop"/>
          <w:rFonts w:asciiTheme="minorHAnsi" w:hAnsiTheme="minorHAnsi" w:cstheme="minorHAnsi"/>
          <w:b/>
          <w:i/>
          <w:sz w:val="22"/>
          <w:szCs w:val="22"/>
        </w:rPr>
        <w:t xml:space="preserve"> Tilleggskrav til catchvekter som brukes ved landing av fisk </w:t>
      </w:r>
    </w:p>
    <w:p w:rsidR="003B05F2" w:rsidRPr="003B05F2" w:rsidRDefault="003B05F2" w:rsidP="003B05F2">
      <w:pPr>
        <w:pStyle w:val="paragraph"/>
        <w:spacing w:before="0" w:beforeAutospacing="0" w:after="0" w:afterAutospacing="0"/>
        <w:textAlignment w:val="baseline"/>
        <w:rPr>
          <w:rStyle w:val="eop"/>
          <w:rFonts w:asciiTheme="minorHAnsi" w:hAnsiTheme="minorHAnsi" w:cstheme="minorHAnsi"/>
          <w:sz w:val="22"/>
          <w:szCs w:val="22"/>
        </w:rPr>
      </w:pP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bookmarkStart w:id="72" w:name="_GoBack"/>
      <w:r w:rsidRPr="00902738">
        <w:rPr>
          <w:rStyle w:val="eop"/>
          <w:rFonts w:asciiTheme="minorHAnsi" w:hAnsiTheme="minorHAnsi" w:cstheme="minorHAnsi"/>
          <w:i/>
          <w:sz w:val="22"/>
          <w:szCs w:val="22"/>
        </w:rPr>
        <w:t xml:space="preserve">Catchvekt som brukes ved landing av fisk skal ha display eller annen tydelig avlesningsmulighet plassert i eller ved vekten. </w:t>
      </w: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r w:rsidRPr="00902738">
        <w:rPr>
          <w:rStyle w:val="eop"/>
          <w:rFonts w:asciiTheme="minorHAnsi" w:hAnsiTheme="minorHAnsi" w:cstheme="minorHAnsi"/>
          <w:i/>
          <w:sz w:val="22"/>
          <w:szCs w:val="22"/>
        </w:rPr>
        <w:t xml:space="preserve">Veid kvantum skal kunne avleses fortløpende. Ved bruk skal veid kvantum kunne avleses direkte. </w:t>
      </w: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r w:rsidRPr="00902738">
        <w:rPr>
          <w:rStyle w:val="eop"/>
          <w:rFonts w:asciiTheme="minorHAnsi" w:hAnsiTheme="minorHAnsi" w:cstheme="minorHAnsi"/>
          <w:i/>
          <w:sz w:val="22"/>
          <w:szCs w:val="22"/>
        </w:rPr>
        <w:t xml:space="preserve">Vekten skal ha minst ett </w:t>
      </w:r>
      <w:proofErr w:type="spellStart"/>
      <w:r w:rsidRPr="00902738">
        <w:rPr>
          <w:rStyle w:val="eop"/>
          <w:rFonts w:asciiTheme="minorHAnsi" w:hAnsiTheme="minorHAnsi" w:cstheme="minorHAnsi"/>
          <w:i/>
          <w:sz w:val="22"/>
          <w:szCs w:val="22"/>
        </w:rPr>
        <w:t>tilleggsdisplay</w:t>
      </w:r>
      <w:proofErr w:type="spellEnd"/>
      <w:r w:rsidRPr="00902738">
        <w:rPr>
          <w:rStyle w:val="eop"/>
          <w:rFonts w:asciiTheme="minorHAnsi" w:hAnsiTheme="minorHAnsi" w:cstheme="minorHAnsi"/>
          <w:i/>
          <w:sz w:val="22"/>
          <w:szCs w:val="22"/>
        </w:rPr>
        <w:t xml:space="preserve"> som gjentar visningen av veieresultatet fra </w:t>
      </w:r>
      <w:proofErr w:type="spellStart"/>
      <w:r w:rsidRPr="00902738">
        <w:rPr>
          <w:rStyle w:val="eop"/>
          <w:rFonts w:asciiTheme="minorHAnsi" w:hAnsiTheme="minorHAnsi" w:cstheme="minorHAnsi"/>
          <w:i/>
          <w:sz w:val="22"/>
          <w:szCs w:val="22"/>
        </w:rPr>
        <w:t>hoveddisplayet</w:t>
      </w:r>
      <w:proofErr w:type="spellEnd"/>
      <w:r w:rsidRPr="00902738">
        <w:rPr>
          <w:rStyle w:val="eop"/>
          <w:rFonts w:asciiTheme="minorHAnsi" w:hAnsiTheme="minorHAnsi" w:cstheme="minorHAnsi"/>
          <w:i/>
          <w:sz w:val="22"/>
          <w:szCs w:val="22"/>
        </w:rPr>
        <w:t xml:space="preserve">. </w:t>
      </w:r>
      <w:proofErr w:type="spellStart"/>
      <w:r w:rsidRPr="00902738">
        <w:rPr>
          <w:rStyle w:val="eop"/>
          <w:rFonts w:asciiTheme="minorHAnsi" w:hAnsiTheme="minorHAnsi" w:cstheme="minorHAnsi"/>
          <w:i/>
          <w:sz w:val="22"/>
          <w:szCs w:val="22"/>
        </w:rPr>
        <w:t>Tilleggsdisplayet</w:t>
      </w:r>
      <w:proofErr w:type="spellEnd"/>
      <w:r w:rsidRPr="00902738">
        <w:rPr>
          <w:rStyle w:val="eop"/>
          <w:rFonts w:asciiTheme="minorHAnsi" w:hAnsiTheme="minorHAnsi" w:cstheme="minorHAnsi"/>
          <w:i/>
          <w:sz w:val="22"/>
          <w:szCs w:val="22"/>
        </w:rPr>
        <w:t xml:space="preserve"> skal ikke ha funksjoner som kan påvirke veieresultatet. </w:t>
      </w:r>
      <w:proofErr w:type="spellStart"/>
      <w:r w:rsidRPr="00902738">
        <w:rPr>
          <w:rStyle w:val="eop"/>
          <w:rFonts w:asciiTheme="minorHAnsi" w:hAnsiTheme="minorHAnsi" w:cstheme="minorHAnsi"/>
          <w:i/>
          <w:sz w:val="22"/>
          <w:szCs w:val="22"/>
        </w:rPr>
        <w:t>Tilleggsdisplayet</w:t>
      </w:r>
      <w:proofErr w:type="spellEnd"/>
      <w:r w:rsidRPr="00902738">
        <w:rPr>
          <w:rStyle w:val="eop"/>
          <w:rFonts w:asciiTheme="minorHAnsi" w:hAnsiTheme="minorHAnsi" w:cstheme="minorHAnsi"/>
          <w:i/>
          <w:sz w:val="22"/>
          <w:szCs w:val="22"/>
        </w:rPr>
        <w:t xml:space="preserve"> skal ha lik deling som </w:t>
      </w:r>
      <w:proofErr w:type="spellStart"/>
      <w:r w:rsidRPr="00902738">
        <w:rPr>
          <w:rStyle w:val="eop"/>
          <w:rFonts w:asciiTheme="minorHAnsi" w:hAnsiTheme="minorHAnsi" w:cstheme="minorHAnsi"/>
          <w:i/>
          <w:sz w:val="22"/>
          <w:szCs w:val="22"/>
        </w:rPr>
        <w:t>hoveddisplayet</w:t>
      </w:r>
      <w:proofErr w:type="spellEnd"/>
      <w:r w:rsidRPr="00902738">
        <w:rPr>
          <w:rStyle w:val="eop"/>
          <w:rFonts w:asciiTheme="minorHAnsi" w:hAnsiTheme="minorHAnsi" w:cstheme="minorHAnsi"/>
          <w:i/>
          <w:sz w:val="22"/>
          <w:szCs w:val="22"/>
        </w:rPr>
        <w:t xml:space="preserve">.  </w:t>
      </w: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p>
    <w:p w:rsidR="003B05F2" w:rsidRPr="00902738" w:rsidRDefault="003B05F2" w:rsidP="003B05F2">
      <w:pPr>
        <w:pStyle w:val="paragraph"/>
        <w:spacing w:before="0" w:beforeAutospacing="0" w:after="0" w:afterAutospacing="0"/>
        <w:textAlignment w:val="baseline"/>
        <w:rPr>
          <w:rStyle w:val="eop"/>
          <w:rFonts w:asciiTheme="minorHAnsi" w:hAnsiTheme="minorHAnsi" w:cstheme="minorHAnsi"/>
          <w:i/>
          <w:sz w:val="22"/>
          <w:szCs w:val="22"/>
        </w:rPr>
      </w:pPr>
      <w:r w:rsidRPr="00902738">
        <w:rPr>
          <w:rStyle w:val="eop"/>
          <w:rFonts w:asciiTheme="minorHAnsi" w:hAnsiTheme="minorHAnsi" w:cstheme="minorHAnsi"/>
          <w:i/>
          <w:sz w:val="22"/>
          <w:szCs w:val="22"/>
        </w:rPr>
        <w:t>Vekten skal ha mer enn ett telleverk, hvor det ene skal være en totalteller som løper kontinuerlig og som ikke kan nullstilles uten å bryte forseglinger.</w:t>
      </w:r>
      <w:r w:rsidRPr="00902738">
        <w:rPr>
          <w:rStyle w:val="normaltextrun"/>
          <w:rFonts w:asciiTheme="minorHAnsi" w:eastAsia="Calibri," w:hAnsiTheme="minorHAnsi" w:cstheme="minorHAnsi"/>
          <w:i/>
          <w:sz w:val="22"/>
          <w:szCs w:val="22"/>
        </w:rPr>
        <w:t xml:space="preserve"> Totaltelleren skal ha lik deling som grunntelleverket.  </w:t>
      </w:r>
      <w:r w:rsidRPr="00902738">
        <w:rPr>
          <w:rStyle w:val="eop"/>
          <w:rFonts w:asciiTheme="minorHAnsi" w:hAnsiTheme="minorHAnsi" w:cstheme="minorHAnsi"/>
          <w:i/>
          <w:sz w:val="22"/>
          <w:szCs w:val="22"/>
        </w:rPr>
        <w:t xml:space="preserve"> </w:t>
      </w:r>
    </w:p>
    <w:bookmarkEnd w:id="72"/>
    <w:p w:rsidR="003B05F2" w:rsidRPr="003B05F2" w:rsidRDefault="003B05F2" w:rsidP="003B05F2">
      <w:pPr>
        <w:pStyle w:val="paragraph"/>
        <w:spacing w:before="0" w:beforeAutospacing="0" w:after="0" w:afterAutospacing="0"/>
        <w:textAlignment w:val="baseline"/>
        <w:rPr>
          <w:rStyle w:val="eop"/>
          <w:rFonts w:asciiTheme="minorHAnsi" w:hAnsiTheme="minorHAnsi" w:cstheme="minorHAnsi"/>
          <w:sz w:val="22"/>
          <w:szCs w:val="22"/>
        </w:rPr>
      </w:pPr>
    </w:p>
    <w:p w:rsidR="00205E5E" w:rsidRDefault="00205E5E" w:rsidP="00205E5E"/>
    <w:p w:rsidR="00205E5E" w:rsidRDefault="00205E5E" w:rsidP="00205E5E">
      <w:pPr>
        <w:pStyle w:val="Overskrift2"/>
        <w:spacing w:before="0" w:after="0"/>
      </w:pPr>
      <w:bookmarkStart w:id="73" w:name="_Toc256000007"/>
      <w:r>
        <w:t>Kapittel 3 – Avsluttende bestemmelser</w:t>
      </w:r>
      <w:bookmarkStart w:id="74" w:name="PARAGRAF_35"/>
      <w:bookmarkEnd w:id="73"/>
    </w:p>
    <w:p w:rsidR="00205E5E" w:rsidRDefault="00205E5E" w:rsidP="00205E5E"/>
    <w:p w:rsidR="00205E5E" w:rsidRDefault="00205E5E" w:rsidP="00205E5E">
      <w:pPr>
        <w:rPr>
          <w:b/>
        </w:rPr>
      </w:pPr>
      <w:bookmarkStart w:id="75" w:name="§35"/>
      <w:bookmarkEnd w:id="75"/>
      <w:r>
        <w:rPr>
          <w:b/>
        </w:rPr>
        <w:t>§ 35.</w:t>
      </w:r>
      <w:r>
        <w:t xml:space="preserve"> </w:t>
      </w:r>
      <w:r>
        <w:rPr>
          <w:b/>
          <w:i/>
        </w:rPr>
        <w:t>Overtredelsesgebyr</w:t>
      </w:r>
    </w:p>
    <w:p w:rsidR="00205E5E" w:rsidRDefault="00205E5E" w:rsidP="00205E5E">
      <w:pPr>
        <w:spacing w:before="120"/>
        <w:ind w:firstLine="180"/>
      </w:pPr>
      <w:r>
        <w:t xml:space="preserve">Overtredelse av bestemmelsene i denne </w:t>
      </w:r>
      <w:proofErr w:type="spellStart"/>
      <w:r>
        <w:t>forskriften</w:t>
      </w:r>
      <w:proofErr w:type="spellEnd"/>
      <w:r>
        <w:t xml:space="preserve"> kan medføre pålegg av overtredelsesgebyr utmålt etter bestemmelsene i forskrift om målenheter og måling kapittel 7.</w:t>
      </w:r>
      <w:bookmarkStart w:id="76" w:name="PARAGRAF_36"/>
      <w:bookmarkEnd w:id="74"/>
    </w:p>
    <w:p w:rsidR="00205E5E" w:rsidRDefault="00205E5E" w:rsidP="00205E5E"/>
    <w:p w:rsidR="00205E5E" w:rsidRDefault="00205E5E" w:rsidP="00205E5E">
      <w:pPr>
        <w:rPr>
          <w:b/>
        </w:rPr>
      </w:pPr>
      <w:bookmarkStart w:id="77" w:name="§36"/>
      <w:bookmarkEnd w:id="77"/>
      <w:r>
        <w:rPr>
          <w:b/>
        </w:rPr>
        <w:t>§ 36.</w:t>
      </w:r>
      <w:r>
        <w:t xml:space="preserve"> </w:t>
      </w:r>
      <w:r>
        <w:rPr>
          <w:b/>
          <w:i/>
        </w:rPr>
        <w:t>Ikrafttredelse</w:t>
      </w:r>
    </w:p>
    <w:p w:rsidR="00205E5E" w:rsidRDefault="00205E5E" w:rsidP="00205E5E">
      <w:pPr>
        <w:spacing w:before="120"/>
        <w:ind w:firstLine="180"/>
      </w:pPr>
      <w:r>
        <w:lastRenderedPageBreak/>
        <w:t xml:space="preserve">Denne </w:t>
      </w:r>
      <w:proofErr w:type="spellStart"/>
      <w:r>
        <w:t>forskriften</w:t>
      </w:r>
      <w:proofErr w:type="spellEnd"/>
      <w:r>
        <w:t xml:space="preserve"> trer i kraft </w:t>
      </w:r>
      <w:r w:rsidR="00366A2F">
        <w:t>01.02.2020</w:t>
      </w:r>
      <w:bookmarkEnd w:id="71"/>
      <w:bookmarkEnd w:id="76"/>
    </w:p>
    <w:p w:rsidR="006A0E29" w:rsidRDefault="006A0E29"/>
    <w:sectPr w:rsidR="006A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5E"/>
    <w:rsid w:val="00205E5E"/>
    <w:rsid w:val="00366A2F"/>
    <w:rsid w:val="003B05F2"/>
    <w:rsid w:val="006A0E29"/>
    <w:rsid w:val="00902738"/>
    <w:rsid w:val="00D50B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F1031-2A43-4B36-9D74-EE24B9A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205E5E"/>
    <w:pPr>
      <w:keepNext/>
      <w:spacing w:before="240" w:after="60" w:line="240" w:lineRule="auto"/>
      <w:outlineLvl w:val="1"/>
    </w:pPr>
    <w:rPr>
      <w:rFonts w:ascii="Arial" w:eastAsia="Times New Roman" w:hAnsi="Arial" w:cs="Arial"/>
      <w:b/>
      <w:bCs/>
      <w:iCs/>
      <w:sz w:val="28"/>
      <w:szCs w:val="28"/>
    </w:rPr>
  </w:style>
  <w:style w:type="paragraph" w:styleId="Overskrift3">
    <w:name w:val="heading 3"/>
    <w:basedOn w:val="Normal"/>
    <w:next w:val="Normal"/>
    <w:link w:val="Overskrift3Tegn"/>
    <w:uiPriority w:val="9"/>
    <w:semiHidden/>
    <w:unhideWhenUsed/>
    <w:qFormat/>
    <w:rsid w:val="00205E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05E5E"/>
    <w:rPr>
      <w:rFonts w:ascii="Arial" w:eastAsia="Times New Roman" w:hAnsi="Arial" w:cs="Arial"/>
      <w:b/>
      <w:bCs/>
      <w:iCs/>
      <w:sz w:val="28"/>
      <w:szCs w:val="28"/>
    </w:rPr>
  </w:style>
  <w:style w:type="paragraph" w:styleId="Fotnotetekst">
    <w:name w:val="footnote text"/>
    <w:basedOn w:val="Normal"/>
    <w:link w:val="FotnotetekstTegn"/>
    <w:rsid w:val="00205E5E"/>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205E5E"/>
    <w:rPr>
      <w:rFonts w:ascii="Times New Roman" w:eastAsia="Times New Roman" w:hAnsi="Times New Roman" w:cs="Times New Roman"/>
      <w:sz w:val="20"/>
      <w:szCs w:val="20"/>
    </w:rPr>
  </w:style>
  <w:style w:type="character" w:customStyle="1" w:styleId="Overskrift3Tegn">
    <w:name w:val="Overskrift 3 Tegn"/>
    <w:basedOn w:val="Standardskriftforavsnitt"/>
    <w:link w:val="Overskrift3"/>
    <w:uiPriority w:val="9"/>
    <w:semiHidden/>
    <w:rsid w:val="00205E5E"/>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3B05F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B05F2"/>
  </w:style>
  <w:style w:type="character" w:customStyle="1" w:styleId="eop">
    <w:name w:val="eop"/>
    <w:basedOn w:val="Standardskriftforavsnitt"/>
    <w:rsid w:val="003B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 Type="http://schemas.openxmlformats.org/officeDocument/2006/relationships/webSettings" Target="webSettings.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vdata.no/pro" TargetMode="External"/><Relationship Id="rId11" Type="http://schemas.openxmlformats.org/officeDocument/2006/relationships/hyperlink" Target="http://www.lovdata.no/pro" TargetMode="External"/><Relationship Id="rId5" Type="http://schemas.openxmlformats.org/officeDocument/2006/relationships/hyperlink" Target="http://www.lovdata.no/pro" TargetMode="External"/><Relationship Id="rId15"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fontTable" Target="fontTable.xml"/><Relationship Id="rId4" Type="http://schemas.openxmlformats.org/officeDocument/2006/relationships/hyperlink" Target="http://www.lovdata.no/pro" TargetMode="Externa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4044</Words>
  <Characters>21438</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6</cp:revision>
  <dcterms:created xsi:type="dcterms:W3CDTF">2019-09-19T07:19:00Z</dcterms:created>
  <dcterms:modified xsi:type="dcterms:W3CDTF">2019-09-25T07:35:00Z</dcterms:modified>
</cp:coreProperties>
</file>