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tblLayout w:type="fixed"/>
        <w:tblCellMar>
          <w:left w:w="71" w:type="dxa"/>
          <w:right w:w="71" w:type="dxa"/>
        </w:tblCellMar>
        <w:tblLook w:val="0000" w:firstRow="0" w:lastRow="0" w:firstColumn="0" w:lastColumn="0" w:noHBand="0" w:noVBand="0"/>
      </w:tblPr>
      <w:tblGrid>
        <w:gridCol w:w="6308"/>
        <w:gridCol w:w="2977"/>
      </w:tblGrid>
      <w:tr w:rsidR="00B71E22" w:rsidRPr="00C96885" w:rsidTr="00C96885">
        <w:trPr>
          <w:trHeight w:hRule="exact" w:val="46"/>
        </w:trPr>
        <w:tc>
          <w:tcPr>
            <w:tcW w:w="6308" w:type="dxa"/>
          </w:tcPr>
          <w:p w:rsidR="00B71E22" w:rsidRPr="00C96885" w:rsidRDefault="00B71E22" w:rsidP="00C644AB">
            <w:pPr>
              <w:rPr>
                <w:lang w:val="en-GB"/>
              </w:rPr>
            </w:pPr>
            <w:bookmarkStart w:id="0" w:name="Mottaker" w:colFirst="0" w:colLast="0"/>
          </w:p>
        </w:tc>
        <w:tc>
          <w:tcPr>
            <w:tcW w:w="2977" w:type="dxa"/>
          </w:tcPr>
          <w:p w:rsidR="00B71E22" w:rsidRPr="00C96885" w:rsidRDefault="00B71E22" w:rsidP="00C644AB">
            <w:pPr>
              <w:rPr>
                <w:lang w:val="en-GB"/>
              </w:rPr>
            </w:pPr>
          </w:p>
          <w:p w:rsidR="00B71E22" w:rsidRPr="00C96885" w:rsidRDefault="00B71E22" w:rsidP="00C644AB">
            <w:pPr>
              <w:rPr>
                <w:lang w:val="en-GB"/>
              </w:rPr>
            </w:pPr>
          </w:p>
          <w:p w:rsidR="00B71E22" w:rsidRPr="00C96885" w:rsidRDefault="00B71E22" w:rsidP="00C644AB">
            <w:pPr>
              <w:rPr>
                <w:lang w:val="en-GB"/>
              </w:rPr>
            </w:pPr>
          </w:p>
          <w:p w:rsidR="00B71E22" w:rsidRPr="00C96885" w:rsidRDefault="00B71E22">
            <w:pPr>
              <w:spacing w:line="300" w:lineRule="exact"/>
              <w:rPr>
                <w:lang w:val="en-GB"/>
              </w:rPr>
            </w:pPr>
            <w:bookmarkStart w:id="1" w:name="uoff"/>
            <w:bookmarkEnd w:id="1"/>
          </w:p>
        </w:tc>
      </w:tr>
    </w:tbl>
    <w:p w:rsidR="00C96885" w:rsidRPr="00C96885" w:rsidRDefault="00C96885" w:rsidP="00A67550">
      <w:pPr>
        <w:tabs>
          <w:tab w:val="left" w:pos="5387"/>
        </w:tabs>
      </w:pPr>
      <w:bookmarkStart w:id="2" w:name="_GoBack"/>
      <w:bookmarkEnd w:id="0"/>
      <w:bookmarkEnd w:id="2"/>
      <w:r w:rsidRPr="00C96885">
        <w:t>DRAFT AMENDMENTS TO THE TOBACCO CONTROL ACT</w:t>
      </w:r>
    </w:p>
    <w:p w:rsidR="00C96885" w:rsidRPr="00C96885" w:rsidRDefault="00C96885" w:rsidP="00C96885">
      <w:pPr>
        <w:tabs>
          <w:tab w:val="left" w:pos="5387"/>
        </w:tabs>
      </w:pPr>
      <w:r w:rsidRPr="00C96885">
        <w:t>(</w:t>
      </w:r>
      <w:proofErr w:type="spellStart"/>
      <w:r w:rsidRPr="00C96885">
        <w:t>Act</w:t>
      </w:r>
      <w:proofErr w:type="spellEnd"/>
      <w:r w:rsidRPr="00C96885">
        <w:t xml:space="preserve"> no. 14 of 9 </w:t>
      </w:r>
      <w:proofErr w:type="spellStart"/>
      <w:r w:rsidRPr="00C96885">
        <w:t>March</w:t>
      </w:r>
      <w:proofErr w:type="spellEnd"/>
      <w:r w:rsidRPr="00C96885">
        <w:t xml:space="preserve"> 1973 </w:t>
      </w:r>
      <w:proofErr w:type="spellStart"/>
      <w:r w:rsidRPr="00C96885">
        <w:t>relating</w:t>
      </w:r>
      <w:proofErr w:type="spellEnd"/>
      <w:r w:rsidRPr="00C96885">
        <w:t xml:space="preserve"> to </w:t>
      </w:r>
      <w:proofErr w:type="spellStart"/>
      <w:r w:rsidRPr="00C96885">
        <w:t>prevention</w:t>
      </w:r>
      <w:proofErr w:type="spellEnd"/>
      <w:r w:rsidRPr="00C96885">
        <w:t xml:space="preserve"> of </w:t>
      </w:r>
      <w:proofErr w:type="spellStart"/>
      <w:r w:rsidRPr="00C96885">
        <w:t>the</w:t>
      </w:r>
      <w:proofErr w:type="spellEnd"/>
      <w:r w:rsidRPr="00C96885">
        <w:t xml:space="preserve"> </w:t>
      </w:r>
      <w:proofErr w:type="spellStart"/>
      <w:r w:rsidRPr="00C96885">
        <w:t>harmful</w:t>
      </w:r>
      <w:proofErr w:type="spellEnd"/>
      <w:r w:rsidRPr="00C96885">
        <w:t xml:space="preserve"> </w:t>
      </w:r>
      <w:proofErr w:type="spellStart"/>
      <w:r w:rsidRPr="00C96885">
        <w:t>effects</w:t>
      </w:r>
      <w:proofErr w:type="spellEnd"/>
      <w:r w:rsidRPr="00C96885">
        <w:t xml:space="preserve"> of </w:t>
      </w:r>
      <w:proofErr w:type="spellStart"/>
      <w:r w:rsidRPr="00C96885">
        <w:t>tobacco</w:t>
      </w:r>
      <w:proofErr w:type="spellEnd"/>
      <w:r w:rsidRPr="00C96885">
        <w:t>)</w:t>
      </w:r>
    </w:p>
    <w:p w:rsidR="00C96885" w:rsidRDefault="00C96885" w:rsidP="00C96885">
      <w:pPr>
        <w:tabs>
          <w:tab w:val="left" w:pos="5387"/>
        </w:tabs>
      </w:pPr>
    </w:p>
    <w:p w:rsidR="00C96885" w:rsidRPr="00C96885" w:rsidRDefault="00C96885" w:rsidP="00C96885">
      <w:pPr>
        <w:tabs>
          <w:tab w:val="left" w:pos="5387"/>
        </w:tabs>
      </w:pPr>
      <w:proofErr w:type="spellStart"/>
      <w:r w:rsidRPr="00C96885">
        <w:t>Additions</w:t>
      </w:r>
      <w:proofErr w:type="spellEnd"/>
      <w:r w:rsidRPr="00C96885">
        <w:t xml:space="preserve"> and </w:t>
      </w:r>
      <w:proofErr w:type="spellStart"/>
      <w:r w:rsidRPr="00C96885">
        <w:t>amendments</w:t>
      </w:r>
      <w:proofErr w:type="spellEnd"/>
      <w:r w:rsidRPr="00C96885">
        <w:t xml:space="preserve"> </w:t>
      </w:r>
      <w:proofErr w:type="spellStart"/>
      <w:r w:rsidRPr="00C96885">
        <w:t>are</w:t>
      </w:r>
      <w:proofErr w:type="spellEnd"/>
      <w:r w:rsidRPr="00C96885">
        <w:t xml:space="preserve"> </w:t>
      </w:r>
      <w:proofErr w:type="spellStart"/>
      <w:r w:rsidRPr="00C96885">
        <w:t>italicised</w:t>
      </w:r>
      <w:proofErr w:type="spellEnd"/>
      <w:r w:rsidRPr="00C96885">
        <w:t>.</w:t>
      </w:r>
    </w:p>
    <w:p w:rsidR="00822195" w:rsidRDefault="00822195" w:rsidP="00A67550">
      <w:pPr>
        <w:tabs>
          <w:tab w:val="left" w:pos="5387"/>
        </w:tabs>
        <w:rPr>
          <w:lang w:val="en-GB"/>
        </w:rPr>
      </w:pPr>
    </w:p>
    <w:p w:rsidR="00ED1984" w:rsidRPr="00822195" w:rsidRDefault="00A67550" w:rsidP="00A67550">
      <w:pPr>
        <w:tabs>
          <w:tab w:val="left" w:pos="5387"/>
        </w:tabs>
        <w:rPr>
          <w:i/>
          <w:lang w:val="en-GB"/>
        </w:rPr>
      </w:pPr>
      <w:r w:rsidRPr="00822195">
        <w:rPr>
          <w:i/>
          <w:lang w:val="en-GB"/>
        </w:rPr>
        <w:t xml:space="preserve">§ 6A-1 </w:t>
      </w:r>
      <w:r w:rsidR="00ED1984" w:rsidRPr="00822195">
        <w:rPr>
          <w:i/>
          <w:lang w:val="en-GB"/>
        </w:rPr>
        <w:t>Registration</w:t>
      </w:r>
      <w:r w:rsidRPr="00822195">
        <w:rPr>
          <w:i/>
          <w:lang w:val="en-GB"/>
        </w:rPr>
        <w:t>, quality</w:t>
      </w:r>
      <w:r w:rsidR="00ED1984" w:rsidRPr="00822195">
        <w:rPr>
          <w:i/>
          <w:lang w:val="en-GB"/>
        </w:rPr>
        <w:t xml:space="preserve"> and s</w:t>
      </w:r>
      <w:r w:rsidR="00B40A6C" w:rsidRPr="00822195">
        <w:rPr>
          <w:i/>
          <w:lang w:val="en-GB"/>
        </w:rPr>
        <w:t>afety</w:t>
      </w:r>
      <w:r w:rsidR="00ED1984" w:rsidRPr="00822195">
        <w:rPr>
          <w:i/>
          <w:lang w:val="en-GB"/>
        </w:rPr>
        <w:t xml:space="preserve"> related to electronic cigarettes </w:t>
      </w:r>
    </w:p>
    <w:p w:rsidR="00ED1984" w:rsidRPr="00822195" w:rsidRDefault="00ED1984" w:rsidP="00A67550">
      <w:pPr>
        <w:tabs>
          <w:tab w:val="left" w:pos="5387"/>
        </w:tabs>
        <w:rPr>
          <w:i/>
          <w:lang w:val="en-GB"/>
        </w:rPr>
      </w:pPr>
      <w:r w:rsidRPr="00822195">
        <w:rPr>
          <w:i/>
          <w:lang w:val="en-GB"/>
        </w:rPr>
        <w:t xml:space="preserve">It is prohibited to </w:t>
      </w:r>
      <w:r w:rsidR="006606FA" w:rsidRPr="00822195">
        <w:rPr>
          <w:i/>
          <w:lang w:val="en-GB"/>
        </w:rPr>
        <w:t xml:space="preserve">sell or to hand over electronic cigarettes or refill containers which are not registered with the Norwegian Medicines Agency. </w:t>
      </w:r>
    </w:p>
    <w:p w:rsidR="00ED1984" w:rsidRPr="00822195" w:rsidRDefault="006606FA" w:rsidP="00A67550">
      <w:pPr>
        <w:tabs>
          <w:tab w:val="left" w:pos="5387"/>
        </w:tabs>
        <w:rPr>
          <w:i/>
          <w:lang w:val="en-GB"/>
        </w:rPr>
      </w:pPr>
      <w:r w:rsidRPr="00822195">
        <w:rPr>
          <w:i/>
          <w:lang w:val="en-GB"/>
        </w:rPr>
        <w:t xml:space="preserve">Manufacturers and importers of electronic cigarettes and refill containers shall apply to register their products at least six months the intended placing on the Norwegian market. A new registration shall be submitted for each substantial modification of the product. </w:t>
      </w:r>
    </w:p>
    <w:p w:rsidR="006E047E" w:rsidRPr="00822195" w:rsidRDefault="006E047E" w:rsidP="00A67550">
      <w:pPr>
        <w:tabs>
          <w:tab w:val="left" w:pos="5387"/>
        </w:tabs>
        <w:rPr>
          <w:i/>
          <w:lang w:val="en-GB"/>
        </w:rPr>
      </w:pPr>
      <w:r w:rsidRPr="00822195">
        <w:rPr>
          <w:i/>
          <w:lang w:val="en-GB"/>
        </w:rPr>
        <w:t xml:space="preserve">The Ministry may make supplementary regulations concerning </w:t>
      </w:r>
      <w:r w:rsidR="00C931D4" w:rsidRPr="00822195">
        <w:rPr>
          <w:i/>
          <w:lang w:val="en-GB"/>
        </w:rPr>
        <w:t xml:space="preserve">the registration of electronic cigarettes,  </w:t>
      </w:r>
      <w:r w:rsidR="00327B2F" w:rsidRPr="00822195">
        <w:rPr>
          <w:i/>
          <w:lang w:val="en-GB"/>
        </w:rPr>
        <w:t xml:space="preserve">making the information received publically available </w:t>
      </w:r>
      <w:r w:rsidR="00B40A6C" w:rsidRPr="00822195">
        <w:rPr>
          <w:i/>
          <w:lang w:val="en-GB"/>
        </w:rPr>
        <w:t>and charging fees to cover expenses relating to the registration and control of electronic cigarettes.</w:t>
      </w:r>
    </w:p>
    <w:p w:rsidR="006606FA" w:rsidRPr="00822195" w:rsidRDefault="006606FA" w:rsidP="00A67550">
      <w:pPr>
        <w:tabs>
          <w:tab w:val="left" w:pos="5387"/>
        </w:tabs>
        <w:rPr>
          <w:i/>
          <w:lang w:val="en-GB"/>
        </w:rPr>
      </w:pPr>
      <w:r w:rsidRPr="00822195">
        <w:rPr>
          <w:i/>
          <w:lang w:val="en-GB"/>
        </w:rPr>
        <w:t>The Ministry may make supplementary regulations concerning requirements to the quality, safety, design and instructions for use.</w:t>
      </w:r>
    </w:p>
    <w:p w:rsidR="006606FA" w:rsidRPr="00822195" w:rsidRDefault="006606FA" w:rsidP="00A67550">
      <w:pPr>
        <w:tabs>
          <w:tab w:val="left" w:pos="5387"/>
        </w:tabs>
        <w:rPr>
          <w:i/>
          <w:lang w:val="en-GB"/>
        </w:rPr>
      </w:pPr>
    </w:p>
    <w:p w:rsidR="006606FA" w:rsidRPr="00822195" w:rsidRDefault="00B40A6C" w:rsidP="00A67550">
      <w:pPr>
        <w:tabs>
          <w:tab w:val="left" w:pos="5387"/>
        </w:tabs>
        <w:rPr>
          <w:i/>
          <w:lang w:val="en-GB"/>
        </w:rPr>
      </w:pPr>
      <w:r w:rsidRPr="00822195">
        <w:rPr>
          <w:i/>
          <w:lang w:val="en-GB"/>
        </w:rPr>
        <w:t>§ 6A-2 Adverse effects</w:t>
      </w:r>
    </w:p>
    <w:p w:rsidR="00B40A6C" w:rsidRPr="00822195" w:rsidRDefault="00822195" w:rsidP="00A67550">
      <w:pPr>
        <w:tabs>
          <w:tab w:val="left" w:pos="5387"/>
        </w:tabs>
        <w:rPr>
          <w:i/>
          <w:lang w:val="en-GB"/>
        </w:rPr>
      </w:pPr>
      <w:r w:rsidRPr="00822195">
        <w:rPr>
          <w:i/>
          <w:lang w:val="en-GB"/>
        </w:rPr>
        <w:t>M</w:t>
      </w:r>
      <w:r w:rsidR="00313722" w:rsidRPr="00822195">
        <w:rPr>
          <w:i/>
          <w:lang w:val="en-GB"/>
        </w:rPr>
        <w:t xml:space="preserve">anufacturers, importers and distributers of electronic cigarettes and refill containers </w:t>
      </w:r>
      <w:r w:rsidRPr="00822195">
        <w:rPr>
          <w:i/>
          <w:lang w:val="en-GB"/>
        </w:rPr>
        <w:t xml:space="preserve">shall </w:t>
      </w:r>
      <w:r w:rsidR="00313722" w:rsidRPr="00822195">
        <w:rPr>
          <w:i/>
          <w:lang w:val="en-GB"/>
        </w:rPr>
        <w:t>establish and maintain a system for collecting information about all of the suspected adverse effects on human health of these products.</w:t>
      </w:r>
    </w:p>
    <w:p w:rsidR="006606FA" w:rsidRPr="00822195" w:rsidRDefault="00822195" w:rsidP="00A67550">
      <w:pPr>
        <w:tabs>
          <w:tab w:val="left" w:pos="5387"/>
        </w:tabs>
        <w:rPr>
          <w:i/>
          <w:lang w:val="en-GB"/>
        </w:rPr>
      </w:pPr>
      <w:r w:rsidRPr="00822195">
        <w:rPr>
          <w:i/>
          <w:lang w:val="en-GB"/>
        </w:rPr>
        <w:t>Should any of these economic operators consider or have reason to believe that electronic cigarettes or refill containers, which are in their possession and are intended to be placed on the market or are placed on the market, are not safe or are not of good quality or are otherwise not in conformity with this Act, that economic operator shall immediately take the corrective action necessary to bring the product concerned into conformity with this Act, to withdraw or to recall it, as appropriate. In such cases the economic operator shall also be required to immediately inform the market surveillance authorities of the Member States in which the product is made available or is intended to be made available, giving details, in particular, of the risk to human health and safety and of any corrective action taken, and of the results of such corrective action.</w:t>
      </w:r>
    </w:p>
    <w:p w:rsidR="00822195" w:rsidRPr="00822195" w:rsidRDefault="00822195" w:rsidP="00A67550">
      <w:pPr>
        <w:tabs>
          <w:tab w:val="left" w:pos="5387"/>
        </w:tabs>
        <w:rPr>
          <w:i/>
          <w:lang w:val="en-GB"/>
        </w:rPr>
      </w:pPr>
      <w:r w:rsidRPr="00822195">
        <w:rPr>
          <w:i/>
          <w:lang w:val="en-GB"/>
        </w:rPr>
        <w:t xml:space="preserve">The Ministry may make supplementary regulations concerning corrective actions and information duties. </w:t>
      </w:r>
    </w:p>
    <w:p w:rsidR="00822195" w:rsidRPr="00822195" w:rsidRDefault="00822195" w:rsidP="00A67550">
      <w:pPr>
        <w:tabs>
          <w:tab w:val="left" w:pos="5387"/>
        </w:tabs>
        <w:rPr>
          <w:i/>
          <w:lang w:val="en-GB"/>
        </w:rPr>
      </w:pPr>
    </w:p>
    <w:p w:rsidR="00B2495D" w:rsidRDefault="00B2495D">
      <w:pPr>
        <w:spacing w:line="240" w:lineRule="auto"/>
        <w:rPr>
          <w:i/>
          <w:lang w:val="en-GB"/>
        </w:rPr>
      </w:pPr>
    </w:p>
    <w:p w:rsidR="00822195" w:rsidRDefault="00822195" w:rsidP="00822195">
      <w:pPr>
        <w:tabs>
          <w:tab w:val="left" w:pos="5387"/>
        </w:tabs>
        <w:rPr>
          <w:i/>
          <w:lang w:val="en-GB"/>
        </w:rPr>
      </w:pPr>
      <w:r w:rsidRPr="00822195">
        <w:rPr>
          <w:i/>
          <w:lang w:val="en-GB"/>
        </w:rPr>
        <w:lastRenderedPageBreak/>
        <w:t xml:space="preserve">§ 6A-3 </w:t>
      </w:r>
      <w:r w:rsidR="00384171">
        <w:rPr>
          <w:i/>
          <w:lang w:val="en-GB"/>
        </w:rPr>
        <w:t>M</w:t>
      </w:r>
      <w:r>
        <w:rPr>
          <w:i/>
          <w:lang w:val="en-GB"/>
        </w:rPr>
        <w:t xml:space="preserve">arket </w:t>
      </w:r>
      <w:r w:rsidR="00384171">
        <w:rPr>
          <w:i/>
          <w:lang w:val="en-GB"/>
        </w:rPr>
        <w:t>surveillance</w:t>
      </w:r>
    </w:p>
    <w:p w:rsidR="00AC24AA" w:rsidRDefault="00384171" w:rsidP="00822195">
      <w:pPr>
        <w:tabs>
          <w:tab w:val="left" w:pos="5387"/>
        </w:tabs>
        <w:rPr>
          <w:i/>
          <w:lang w:val="en-GB"/>
        </w:rPr>
      </w:pPr>
      <w:r>
        <w:rPr>
          <w:i/>
          <w:lang w:val="en-GB"/>
        </w:rPr>
        <w:t>M</w:t>
      </w:r>
      <w:r w:rsidR="00822195" w:rsidRPr="00822195">
        <w:rPr>
          <w:i/>
          <w:lang w:val="en-GB"/>
        </w:rPr>
        <w:t xml:space="preserve">anufacturers and importers of electronic cigarettes and refill containers </w:t>
      </w:r>
      <w:r w:rsidR="00822195">
        <w:rPr>
          <w:i/>
          <w:lang w:val="en-GB"/>
        </w:rPr>
        <w:t xml:space="preserve">shall annually submit to the Directorate of Health </w:t>
      </w:r>
      <w:r>
        <w:rPr>
          <w:i/>
          <w:lang w:val="en-GB"/>
        </w:rPr>
        <w:t xml:space="preserve">data on sales volume, preferences of various consumer groups, mode of sale and summaries of market surveys.  </w:t>
      </w:r>
    </w:p>
    <w:p w:rsidR="00AC24AA" w:rsidRDefault="00AC24AA" w:rsidP="00822195">
      <w:pPr>
        <w:tabs>
          <w:tab w:val="left" w:pos="5387"/>
        </w:tabs>
        <w:rPr>
          <w:i/>
          <w:lang w:val="en-GB"/>
        </w:rPr>
      </w:pPr>
    </w:p>
    <w:p w:rsidR="00A234CF" w:rsidRDefault="00A234CF" w:rsidP="00822195">
      <w:pPr>
        <w:tabs>
          <w:tab w:val="left" w:pos="5387"/>
        </w:tabs>
        <w:rPr>
          <w:i/>
          <w:lang w:val="en-GB"/>
        </w:rPr>
      </w:pPr>
      <w:r>
        <w:rPr>
          <w:i/>
          <w:lang w:val="en-GB"/>
        </w:rPr>
        <w:t xml:space="preserve">§ </w:t>
      </w:r>
      <w:r w:rsidR="009D2634">
        <w:rPr>
          <w:i/>
          <w:lang w:val="en-GB"/>
        </w:rPr>
        <w:t>32 second section</w:t>
      </w:r>
      <w:r w:rsidR="00944092">
        <w:rPr>
          <w:i/>
          <w:lang w:val="en-GB"/>
        </w:rPr>
        <w:t xml:space="preserve"> Ingredients and emissions</w:t>
      </w:r>
    </w:p>
    <w:p w:rsidR="009D2634" w:rsidRDefault="009D2634" w:rsidP="001D058B">
      <w:pPr>
        <w:tabs>
          <w:tab w:val="left" w:pos="5387"/>
        </w:tabs>
        <w:rPr>
          <w:i/>
          <w:lang w:val="en-GB"/>
        </w:rPr>
      </w:pPr>
      <w:r w:rsidRPr="00B2495D">
        <w:rPr>
          <w:lang w:val="en-GB"/>
        </w:rPr>
        <w:t xml:space="preserve">The Ministry may make supplementary regulations </w:t>
      </w:r>
      <w:r w:rsidR="002633A8" w:rsidRPr="00B2495D">
        <w:rPr>
          <w:lang w:val="en-GB"/>
        </w:rPr>
        <w:t xml:space="preserve">regarding </w:t>
      </w:r>
      <w:r w:rsidRPr="00B2495D">
        <w:rPr>
          <w:lang w:val="en-GB"/>
        </w:rPr>
        <w:t xml:space="preserve">the ingredients in tobacco products </w:t>
      </w:r>
      <w:r>
        <w:rPr>
          <w:i/>
          <w:lang w:val="en-GB"/>
        </w:rPr>
        <w:t xml:space="preserve">and tobacco surrogates, </w:t>
      </w:r>
      <w:r w:rsidRPr="00B2495D">
        <w:rPr>
          <w:lang w:val="en-GB"/>
        </w:rPr>
        <w:t>including</w:t>
      </w:r>
      <w:r>
        <w:rPr>
          <w:i/>
          <w:lang w:val="en-GB"/>
        </w:rPr>
        <w:t xml:space="preserve"> the prohibition of certain additives, </w:t>
      </w:r>
      <w:r w:rsidRPr="00B2495D">
        <w:rPr>
          <w:lang w:val="en-GB"/>
        </w:rPr>
        <w:t xml:space="preserve">maximum levels of ingredients </w:t>
      </w:r>
      <w:r>
        <w:rPr>
          <w:i/>
          <w:lang w:val="en-GB"/>
        </w:rPr>
        <w:t xml:space="preserve">and emissions and </w:t>
      </w:r>
      <w:r w:rsidR="00B933FB">
        <w:rPr>
          <w:i/>
          <w:lang w:val="en-GB"/>
        </w:rPr>
        <w:t xml:space="preserve">the </w:t>
      </w:r>
      <w:r>
        <w:rPr>
          <w:i/>
          <w:lang w:val="en-GB"/>
        </w:rPr>
        <w:t>measurement methods</w:t>
      </w:r>
      <w:r w:rsidR="00944092">
        <w:rPr>
          <w:i/>
          <w:lang w:val="en-GB"/>
        </w:rPr>
        <w:t xml:space="preserve"> </w:t>
      </w:r>
      <w:r w:rsidR="00B2495D">
        <w:rPr>
          <w:i/>
          <w:lang w:val="en-GB"/>
        </w:rPr>
        <w:t xml:space="preserve">and control of </w:t>
      </w:r>
      <w:r w:rsidR="00944092">
        <w:rPr>
          <w:i/>
          <w:lang w:val="en-GB"/>
        </w:rPr>
        <w:t>emissions</w:t>
      </w:r>
      <w:r w:rsidR="00B933FB">
        <w:rPr>
          <w:i/>
          <w:lang w:val="en-GB"/>
        </w:rPr>
        <w:t>.</w:t>
      </w:r>
      <w:r>
        <w:rPr>
          <w:i/>
          <w:lang w:val="en-GB"/>
        </w:rPr>
        <w:t xml:space="preserve"> </w:t>
      </w:r>
    </w:p>
    <w:p w:rsidR="009D2634" w:rsidRDefault="009D2634" w:rsidP="001D058B">
      <w:pPr>
        <w:tabs>
          <w:tab w:val="left" w:pos="5387"/>
        </w:tabs>
        <w:rPr>
          <w:i/>
          <w:lang w:val="en-GB"/>
        </w:rPr>
      </w:pPr>
    </w:p>
    <w:sectPr w:rsidR="009D2634" w:rsidSect="00E57496">
      <w:footerReference w:type="default" r:id="rId7"/>
      <w:headerReference w:type="first" r:id="rId8"/>
      <w:footerReference w:type="first" r:id="rId9"/>
      <w:type w:val="continuous"/>
      <w:pgSz w:w="11907" w:h="16840" w:code="9"/>
      <w:pgMar w:top="1418" w:right="1134" w:bottom="1701" w:left="1701" w:header="510" w:footer="56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5C" w:rsidRDefault="0036055C">
      <w:r>
        <w:separator/>
      </w:r>
    </w:p>
  </w:endnote>
  <w:endnote w:type="continuationSeparator" w:id="0">
    <w:p w:rsidR="0036055C" w:rsidRDefault="0036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605"/>
      <w:gridCol w:w="8467"/>
    </w:tblGrid>
    <w:tr w:rsidR="005144EC">
      <w:tc>
        <w:tcPr>
          <w:tcW w:w="502" w:type="dxa"/>
        </w:tcPr>
        <w:p w:rsidR="005144EC" w:rsidRDefault="00C96885">
          <w:pPr>
            <w:pStyle w:val="Footer"/>
            <w:ind w:right="-70"/>
          </w:pPr>
          <w:bookmarkStart w:id="3" w:name="BM12" w:colFirst="0" w:colLast="0"/>
          <w:r>
            <w:t>Page</w:t>
          </w:r>
        </w:p>
      </w:tc>
      <w:tc>
        <w:tcPr>
          <w:tcW w:w="8716" w:type="dxa"/>
        </w:tcPr>
        <w:p w:rsidR="005144EC" w:rsidRDefault="00C96885">
          <w:pPr>
            <w:pStyle w:val="Footer"/>
            <w:ind w:left="-76"/>
          </w:pPr>
          <w:r>
            <w:fldChar w:fldCharType="begin"/>
          </w:r>
          <w:r>
            <w:instrText xml:space="preserve"> PAGE </w:instrText>
          </w:r>
          <w:r>
            <w:fldChar w:fldCharType="separate"/>
          </w:r>
          <w:r w:rsidR="002B0563">
            <w:rPr>
              <w:noProof/>
            </w:rPr>
            <w:t>2</w:t>
          </w:r>
          <w:r>
            <w:rPr>
              <w:noProof/>
            </w:rPr>
            <w:fldChar w:fldCharType="end"/>
          </w:r>
        </w:p>
      </w:tc>
      <w:bookmarkEnd w:id="3"/>
    </w:tr>
  </w:tbl>
  <w:p w:rsidR="005144EC" w:rsidRDefault="00514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24" w:rsidRPr="00E57496" w:rsidRDefault="008C7F24" w:rsidP="008C7F24">
    <w:pPr>
      <w:framePr w:w="11907" w:h="503" w:hRule="exact" w:wrap="notBeside" w:vAnchor="page" w:hAnchor="page" w:x="1" w:y="14773"/>
      <w:rPr>
        <w:sz w:val="16"/>
        <w:szCs w:val="16"/>
      </w:rPr>
    </w:pPr>
  </w:p>
  <w:p w:rsidR="008C7F24" w:rsidRPr="00E57496" w:rsidRDefault="00C96885" w:rsidP="008C7F24">
    <w:pPr>
      <w:framePr w:w="11907" w:h="503" w:hRule="exact" w:wrap="notBeside" w:vAnchor="page" w:hAnchor="page" w:x="1" w:y="14773"/>
      <w:rPr>
        <w:sz w:val="16"/>
        <w:szCs w:val="16"/>
      </w:rPr>
    </w:pPr>
    <w:r>
      <w:rPr>
        <w:noProof/>
        <w:sz w:val="16"/>
        <w:szCs w:val="16"/>
        <w:lang w:val="en-GB" w:eastAsia="en-GB"/>
      </w:rPr>
      <mc:AlternateContent>
        <mc:Choice Requires="wps">
          <w:drawing>
            <wp:anchor distT="0" distB="0" distL="114300" distR="114300" simplePos="0" relativeHeight="251658240" behindDoc="0" locked="0" layoutInCell="0" allowOverlap="1">
              <wp:simplePos x="0" y="0"/>
              <wp:positionH relativeFrom="page">
                <wp:posOffset>708660</wp:posOffset>
              </wp:positionH>
              <wp:positionV relativeFrom="page">
                <wp:posOffset>9601200</wp:posOffset>
              </wp:positionV>
              <wp:extent cx="6155055" cy="635"/>
              <wp:effectExtent l="13335" t="9525" r="13335" b="889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1B3F" id="Line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756pt" to="540.45pt,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" o:allowincell="f">
              <v:stroke startarrowwidth="narrow" startarrowlength="short" endarrowwidth="narrow" endarrowlength="short"/>
              <w10:wrap anchorx="page" anchory="page"/>
            </v:line>
          </w:pict>
        </mc:Fallback>
      </mc:AlternateContent>
    </w:r>
  </w:p>
  <w:p w:rsidR="008C7F24" w:rsidRPr="00E57496" w:rsidRDefault="008C7F24" w:rsidP="008C7F24">
    <w:pPr>
      <w:pStyle w:val="Footer"/>
      <w:rPr>
        <w:sz w:val="16"/>
        <w:szCs w:val="16"/>
      </w:rPr>
    </w:pPr>
  </w:p>
  <w:tbl>
    <w:tblPr>
      <w:tblW w:w="9464" w:type="dxa"/>
      <w:tblLayout w:type="fixed"/>
      <w:tblLook w:val="0000" w:firstRow="0" w:lastRow="0" w:firstColumn="0" w:lastColumn="0" w:noHBand="0" w:noVBand="0"/>
    </w:tblPr>
    <w:tblGrid>
      <w:gridCol w:w="2166"/>
      <w:gridCol w:w="2128"/>
      <w:gridCol w:w="1456"/>
      <w:gridCol w:w="1987"/>
      <w:gridCol w:w="1727"/>
    </w:tblGrid>
    <w:tr w:rsidR="008C7F24" w:rsidRPr="00E57496" w:rsidTr="00374395">
      <w:tc>
        <w:tcPr>
          <w:tcW w:w="2166" w:type="dxa"/>
        </w:tcPr>
        <w:p w:rsidR="008C7F24" w:rsidRPr="00E57496" w:rsidRDefault="00C96885" w:rsidP="00374395">
          <w:pPr>
            <w:pStyle w:val="Footer"/>
            <w:ind w:right="-31"/>
            <w:rPr>
              <w:sz w:val="16"/>
              <w:szCs w:val="16"/>
            </w:rPr>
          </w:pPr>
          <w:bookmarkStart w:id="7" w:name="BM6" w:colFirst="0" w:colLast="0"/>
          <w:bookmarkStart w:id="8" w:name="BM7" w:colFirst="1" w:colLast="1"/>
          <w:bookmarkStart w:id="9" w:name="BM8" w:colFirst="2" w:colLast="2"/>
          <w:bookmarkStart w:id="10" w:name="BM9" w:colFirst="4" w:colLast="4"/>
          <w:r>
            <w:rPr>
              <w:sz w:val="16"/>
              <w:szCs w:val="16"/>
            </w:rPr>
            <w:t xml:space="preserve">Postal </w:t>
          </w:r>
          <w:proofErr w:type="spellStart"/>
          <w:r>
            <w:rPr>
              <w:sz w:val="16"/>
              <w:szCs w:val="16"/>
            </w:rPr>
            <w:t>address</w:t>
          </w:r>
          <w:proofErr w:type="spellEnd"/>
        </w:p>
      </w:tc>
      <w:tc>
        <w:tcPr>
          <w:tcW w:w="2128" w:type="dxa"/>
        </w:tcPr>
        <w:p w:rsidR="008C7F24" w:rsidRPr="00E57496" w:rsidRDefault="00C96885" w:rsidP="00374395">
          <w:pPr>
            <w:pStyle w:val="Footer"/>
            <w:ind w:right="-10"/>
            <w:rPr>
              <w:sz w:val="16"/>
              <w:szCs w:val="16"/>
            </w:rPr>
          </w:pPr>
          <w:proofErr w:type="spellStart"/>
          <w:r>
            <w:rPr>
              <w:sz w:val="16"/>
              <w:szCs w:val="16"/>
            </w:rPr>
            <w:t>Visiting</w:t>
          </w:r>
          <w:proofErr w:type="spellEnd"/>
          <w:r>
            <w:rPr>
              <w:sz w:val="16"/>
              <w:szCs w:val="16"/>
            </w:rPr>
            <w:t xml:space="preserve"> </w:t>
          </w:r>
          <w:proofErr w:type="spellStart"/>
          <w:r>
            <w:rPr>
              <w:sz w:val="16"/>
              <w:szCs w:val="16"/>
            </w:rPr>
            <w:t>address</w:t>
          </w:r>
          <w:proofErr w:type="spellEnd"/>
        </w:p>
      </w:tc>
      <w:tc>
        <w:tcPr>
          <w:tcW w:w="1456" w:type="dxa"/>
        </w:tcPr>
        <w:p w:rsidR="008C7F24" w:rsidRPr="00E57496" w:rsidRDefault="00C96885" w:rsidP="00374395">
          <w:pPr>
            <w:pStyle w:val="Footer"/>
            <w:ind w:right="-90"/>
            <w:rPr>
              <w:sz w:val="16"/>
              <w:szCs w:val="16"/>
            </w:rPr>
          </w:pPr>
          <w:r>
            <w:rPr>
              <w:sz w:val="16"/>
              <w:szCs w:val="16"/>
            </w:rPr>
            <w:t>Telephone*</w:t>
          </w:r>
        </w:p>
      </w:tc>
      <w:tc>
        <w:tcPr>
          <w:tcW w:w="1987" w:type="dxa"/>
          <w:vMerge w:val="restart"/>
        </w:tcPr>
        <w:p w:rsidR="008C7F24" w:rsidRPr="00E57496" w:rsidRDefault="00C96885" w:rsidP="00374395">
          <w:pPr>
            <w:pStyle w:val="Footer"/>
            <w:ind w:right="-51"/>
            <w:rPr>
              <w:sz w:val="16"/>
              <w:szCs w:val="16"/>
            </w:rPr>
          </w:pPr>
          <w:bookmarkStart w:id="11" w:name="avdsek"/>
          <w:bookmarkEnd w:id="11"/>
          <w:r>
            <w:rPr>
              <w:sz w:val="16"/>
              <w:szCs w:val="16"/>
            </w:rPr>
            <w:t>Departement of Public Health</w:t>
          </w:r>
        </w:p>
      </w:tc>
      <w:tc>
        <w:tcPr>
          <w:tcW w:w="1727" w:type="dxa"/>
        </w:tcPr>
        <w:p w:rsidR="008C7F24" w:rsidRPr="00E57496" w:rsidRDefault="00C96885" w:rsidP="00374395">
          <w:pPr>
            <w:pStyle w:val="Footer"/>
            <w:rPr>
              <w:sz w:val="16"/>
              <w:szCs w:val="16"/>
            </w:rPr>
          </w:pPr>
          <w:r>
            <w:rPr>
              <w:sz w:val="16"/>
              <w:szCs w:val="16"/>
            </w:rPr>
            <w:t xml:space="preserve">Our </w:t>
          </w:r>
          <w:proofErr w:type="spellStart"/>
          <w:r>
            <w:rPr>
              <w:sz w:val="16"/>
              <w:szCs w:val="16"/>
            </w:rPr>
            <w:t>officer</w:t>
          </w:r>
          <w:proofErr w:type="spellEnd"/>
        </w:p>
      </w:tc>
    </w:tr>
    <w:tr w:rsidR="008C7F24" w:rsidRPr="00E57496" w:rsidTr="00374395">
      <w:tc>
        <w:tcPr>
          <w:tcW w:w="2166" w:type="dxa"/>
        </w:tcPr>
        <w:p w:rsidR="008C7F24" w:rsidRPr="00E57496" w:rsidRDefault="00C96885" w:rsidP="00374395">
          <w:pPr>
            <w:pStyle w:val="Footer"/>
            <w:ind w:right="-31"/>
            <w:rPr>
              <w:sz w:val="16"/>
              <w:szCs w:val="16"/>
            </w:rPr>
          </w:pPr>
          <w:bookmarkStart w:id="12" w:name="padr1"/>
          <w:bookmarkEnd w:id="7"/>
          <w:bookmarkEnd w:id="8"/>
          <w:bookmarkEnd w:id="9"/>
          <w:bookmarkEnd w:id="10"/>
          <w:bookmarkEnd w:id="12"/>
          <w:r>
            <w:rPr>
              <w:sz w:val="16"/>
              <w:szCs w:val="16"/>
            </w:rPr>
            <w:t>PO Box 8011 Dep</w:t>
          </w:r>
        </w:p>
      </w:tc>
      <w:tc>
        <w:tcPr>
          <w:tcW w:w="2128" w:type="dxa"/>
          <w:vMerge w:val="restart"/>
        </w:tcPr>
        <w:p w:rsidR="008C7F24" w:rsidRPr="00E57496" w:rsidRDefault="00C96885" w:rsidP="00374395">
          <w:pPr>
            <w:pStyle w:val="Footer"/>
            <w:ind w:right="-10"/>
            <w:rPr>
              <w:sz w:val="16"/>
              <w:szCs w:val="16"/>
            </w:rPr>
          </w:pPr>
          <w:bookmarkStart w:id="13" w:name="kadr1"/>
          <w:bookmarkEnd w:id="13"/>
          <w:r>
            <w:rPr>
              <w:sz w:val="16"/>
              <w:szCs w:val="16"/>
            </w:rPr>
            <w:t>Einar Gerhardsens plass 3</w:t>
          </w:r>
        </w:p>
      </w:tc>
      <w:tc>
        <w:tcPr>
          <w:tcW w:w="1456" w:type="dxa"/>
        </w:tcPr>
        <w:p w:rsidR="008C7F24" w:rsidRPr="00E57496" w:rsidRDefault="00C96885" w:rsidP="00374395">
          <w:pPr>
            <w:pStyle w:val="Footer"/>
            <w:ind w:right="-90"/>
            <w:rPr>
              <w:sz w:val="16"/>
              <w:szCs w:val="16"/>
            </w:rPr>
          </w:pPr>
          <w:bookmarkStart w:id="14" w:name="tlf"/>
          <w:bookmarkEnd w:id="14"/>
          <w:r>
            <w:rPr>
              <w:sz w:val="16"/>
              <w:szCs w:val="16"/>
            </w:rPr>
            <w:t>+47 22 24 90 90</w:t>
          </w:r>
        </w:p>
      </w:tc>
      <w:tc>
        <w:tcPr>
          <w:tcW w:w="1987" w:type="dxa"/>
          <w:vMerge/>
        </w:tcPr>
        <w:p w:rsidR="008C7F24" w:rsidRPr="00E57496" w:rsidRDefault="008C7F24" w:rsidP="00374395">
          <w:pPr>
            <w:pStyle w:val="Footer"/>
            <w:ind w:right="-51"/>
            <w:rPr>
              <w:sz w:val="16"/>
              <w:szCs w:val="16"/>
            </w:rPr>
          </w:pPr>
        </w:p>
      </w:tc>
      <w:tc>
        <w:tcPr>
          <w:tcW w:w="1727" w:type="dxa"/>
          <w:vMerge w:val="restart"/>
        </w:tcPr>
        <w:p w:rsidR="008C7F24" w:rsidRDefault="00C96885" w:rsidP="00374395">
          <w:pPr>
            <w:pStyle w:val="Footer"/>
            <w:rPr>
              <w:sz w:val="16"/>
              <w:szCs w:val="16"/>
            </w:rPr>
          </w:pPr>
          <w:bookmarkStart w:id="15" w:name="saksbeh"/>
          <w:bookmarkEnd w:id="15"/>
          <w:r>
            <w:rPr>
              <w:sz w:val="16"/>
              <w:szCs w:val="16"/>
            </w:rPr>
            <w:t>Katrine S. Edvardsen Espantaleón</w:t>
          </w:r>
        </w:p>
        <w:p w:rsidR="00C96885" w:rsidRPr="00E57496" w:rsidRDefault="00C96885" w:rsidP="00374395">
          <w:pPr>
            <w:pStyle w:val="Footer"/>
            <w:rPr>
              <w:sz w:val="16"/>
              <w:szCs w:val="16"/>
            </w:rPr>
          </w:pPr>
          <w:r>
            <w:rPr>
              <w:sz w:val="16"/>
              <w:szCs w:val="16"/>
            </w:rPr>
            <w:t>+47 22 24 84 51</w:t>
          </w:r>
        </w:p>
      </w:tc>
    </w:tr>
    <w:tr w:rsidR="008C7F24" w:rsidRPr="00E57496" w:rsidTr="00374395">
      <w:tc>
        <w:tcPr>
          <w:tcW w:w="2166" w:type="dxa"/>
        </w:tcPr>
        <w:p w:rsidR="008C7F24" w:rsidRPr="00E57496" w:rsidRDefault="00C96885" w:rsidP="00374395">
          <w:pPr>
            <w:pStyle w:val="Footer"/>
            <w:ind w:right="-31"/>
            <w:rPr>
              <w:sz w:val="16"/>
              <w:szCs w:val="16"/>
            </w:rPr>
          </w:pPr>
          <w:bookmarkStart w:id="16" w:name="padr2"/>
          <w:bookmarkStart w:id="17" w:name="BM11" w:colFirst="2" w:colLast="2"/>
          <w:bookmarkEnd w:id="16"/>
          <w:r>
            <w:rPr>
              <w:sz w:val="16"/>
              <w:szCs w:val="16"/>
            </w:rPr>
            <w:t>0030 Oslo</w:t>
          </w:r>
        </w:p>
      </w:tc>
      <w:tc>
        <w:tcPr>
          <w:tcW w:w="2128" w:type="dxa"/>
          <w:vMerge/>
        </w:tcPr>
        <w:p w:rsidR="008C7F24" w:rsidRPr="00E57496" w:rsidRDefault="008C7F24" w:rsidP="00374395">
          <w:pPr>
            <w:ind w:right="-10"/>
            <w:rPr>
              <w:sz w:val="16"/>
              <w:szCs w:val="16"/>
            </w:rPr>
          </w:pPr>
        </w:p>
      </w:tc>
      <w:tc>
        <w:tcPr>
          <w:tcW w:w="1456" w:type="dxa"/>
        </w:tcPr>
        <w:p w:rsidR="008C7F24" w:rsidRPr="00E57496" w:rsidRDefault="00C96885" w:rsidP="00374395">
          <w:pPr>
            <w:pStyle w:val="Footer"/>
            <w:ind w:right="-90"/>
            <w:rPr>
              <w:sz w:val="16"/>
              <w:szCs w:val="16"/>
            </w:rPr>
          </w:pPr>
          <w:proofErr w:type="spellStart"/>
          <w:r>
            <w:rPr>
              <w:sz w:val="16"/>
              <w:szCs w:val="16"/>
            </w:rPr>
            <w:t>Vat</w:t>
          </w:r>
          <w:proofErr w:type="spellEnd"/>
          <w:r>
            <w:rPr>
              <w:sz w:val="16"/>
              <w:szCs w:val="16"/>
            </w:rPr>
            <w:t xml:space="preserve"> no.</w:t>
          </w:r>
        </w:p>
      </w:tc>
      <w:tc>
        <w:tcPr>
          <w:tcW w:w="1987" w:type="dxa"/>
        </w:tcPr>
        <w:p w:rsidR="008C7F24" w:rsidRPr="00E57496" w:rsidRDefault="008C7F24" w:rsidP="00374395">
          <w:pPr>
            <w:pStyle w:val="Footer"/>
            <w:ind w:right="-51"/>
            <w:rPr>
              <w:sz w:val="16"/>
              <w:szCs w:val="16"/>
            </w:rPr>
          </w:pPr>
          <w:bookmarkStart w:id="18" w:name="BM10"/>
          <w:bookmarkEnd w:id="18"/>
        </w:p>
      </w:tc>
      <w:bookmarkEnd w:id="17"/>
      <w:tc>
        <w:tcPr>
          <w:tcW w:w="1727" w:type="dxa"/>
          <w:vMerge/>
        </w:tcPr>
        <w:p w:rsidR="008C7F24" w:rsidRPr="00E57496" w:rsidRDefault="008C7F24" w:rsidP="00374395">
          <w:pPr>
            <w:pStyle w:val="Footer"/>
            <w:rPr>
              <w:sz w:val="16"/>
              <w:szCs w:val="16"/>
            </w:rPr>
          </w:pPr>
        </w:p>
      </w:tc>
    </w:tr>
    <w:tr w:rsidR="008C7F24" w:rsidRPr="00E57496" w:rsidTr="00374395">
      <w:tc>
        <w:tcPr>
          <w:tcW w:w="2166" w:type="dxa"/>
        </w:tcPr>
        <w:p w:rsidR="008C7F24" w:rsidRPr="00E57496" w:rsidRDefault="00C96885" w:rsidP="00374395">
          <w:pPr>
            <w:pStyle w:val="Footer"/>
            <w:ind w:right="-31"/>
            <w:rPr>
              <w:sz w:val="16"/>
              <w:szCs w:val="16"/>
            </w:rPr>
          </w:pPr>
          <w:bookmarkStart w:id="19" w:name="postmottak" w:colFirst="0" w:colLast="0"/>
          <w:bookmarkStart w:id="20" w:name="Internetadr" w:colFirst="1" w:colLast="1"/>
          <w:r>
            <w:rPr>
              <w:sz w:val="16"/>
              <w:szCs w:val="16"/>
            </w:rPr>
            <w:t>postmottak@hod.dep.no</w:t>
          </w:r>
        </w:p>
      </w:tc>
      <w:tc>
        <w:tcPr>
          <w:tcW w:w="2128" w:type="dxa"/>
        </w:tcPr>
        <w:p w:rsidR="008C7F24" w:rsidRPr="00E57496" w:rsidRDefault="00C96885" w:rsidP="00374395">
          <w:pPr>
            <w:pStyle w:val="Footer"/>
            <w:ind w:right="-10"/>
            <w:rPr>
              <w:sz w:val="16"/>
              <w:szCs w:val="16"/>
            </w:rPr>
          </w:pPr>
          <w:r>
            <w:rPr>
              <w:sz w:val="16"/>
              <w:szCs w:val="16"/>
            </w:rPr>
            <w:t>www.hod.dep.no</w:t>
          </w:r>
        </w:p>
      </w:tc>
      <w:tc>
        <w:tcPr>
          <w:tcW w:w="1456" w:type="dxa"/>
        </w:tcPr>
        <w:p w:rsidR="008C7F24" w:rsidRPr="00E57496" w:rsidRDefault="00C96885" w:rsidP="00374395">
          <w:pPr>
            <w:pStyle w:val="Footer"/>
            <w:ind w:right="-90"/>
            <w:rPr>
              <w:sz w:val="16"/>
              <w:szCs w:val="16"/>
            </w:rPr>
          </w:pPr>
          <w:bookmarkStart w:id="21" w:name="orgnr"/>
          <w:bookmarkEnd w:id="21"/>
          <w:r>
            <w:rPr>
              <w:sz w:val="16"/>
              <w:szCs w:val="16"/>
            </w:rPr>
            <w:t>983 887 406</w:t>
          </w:r>
        </w:p>
      </w:tc>
      <w:tc>
        <w:tcPr>
          <w:tcW w:w="1987" w:type="dxa"/>
        </w:tcPr>
        <w:p w:rsidR="008C7F24" w:rsidRPr="00E57496" w:rsidRDefault="008C7F24" w:rsidP="00374395">
          <w:pPr>
            <w:pStyle w:val="Footer"/>
            <w:ind w:right="-51"/>
            <w:rPr>
              <w:sz w:val="16"/>
              <w:szCs w:val="16"/>
            </w:rPr>
          </w:pPr>
          <w:bookmarkStart w:id="22" w:name="fax"/>
          <w:bookmarkEnd w:id="22"/>
        </w:p>
      </w:tc>
      <w:tc>
        <w:tcPr>
          <w:tcW w:w="1727" w:type="dxa"/>
          <w:vMerge/>
        </w:tcPr>
        <w:p w:rsidR="008C7F24" w:rsidRPr="00E57496" w:rsidRDefault="008C7F24" w:rsidP="00374395">
          <w:pPr>
            <w:pStyle w:val="Footer"/>
            <w:rPr>
              <w:sz w:val="16"/>
              <w:szCs w:val="16"/>
            </w:rPr>
          </w:pPr>
        </w:p>
      </w:tc>
    </w:tr>
    <w:bookmarkEnd w:id="19"/>
    <w:bookmarkEnd w:id="20"/>
  </w:tbl>
  <w:p w:rsidR="008C7F24" w:rsidRPr="00E57496" w:rsidRDefault="008C7F24" w:rsidP="008C7F2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5C" w:rsidRDefault="0036055C">
      <w:r>
        <w:separator/>
      </w:r>
    </w:p>
  </w:footnote>
  <w:footnote w:type="continuationSeparator" w:id="0">
    <w:p w:rsidR="0036055C" w:rsidRDefault="0036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9" w:type="dxa"/>
      <w:tblInd w:w="113" w:type="dxa"/>
      <w:tblLook w:val="0000" w:firstRow="0" w:lastRow="0" w:firstColumn="0" w:lastColumn="0" w:noHBand="0" w:noVBand="0"/>
    </w:tblPr>
    <w:tblGrid>
      <w:gridCol w:w="9209"/>
    </w:tblGrid>
    <w:tr w:rsidR="005144EC" w:rsidTr="00B71E22">
      <w:trPr>
        <w:trHeight w:val="1162"/>
      </w:trPr>
      <w:tc>
        <w:tcPr>
          <w:tcW w:w="9209" w:type="dxa"/>
        </w:tcPr>
        <w:p w:rsidR="005144EC" w:rsidRPr="00080D91" w:rsidRDefault="00C96885" w:rsidP="00B71E22">
          <w:pPr>
            <w:pStyle w:val="Header"/>
          </w:pPr>
          <w:bookmarkStart w:id="4" w:name="Logo" w:colFirst="0" w:colLast="0"/>
          <w:r>
            <w:rPr>
              <w:noProof/>
              <w:lang w:val="en-GB" w:eastAsia="en-GB"/>
            </w:rPr>
            <w:drawing>
              <wp:inline distT="0" distB="0" distL="0" distR="0">
                <wp:extent cx="2660904" cy="978408"/>
                <wp:effectExtent l="0" t="0" r="0" b="0"/>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0904" cy="978408"/>
                        </a:xfrm>
                        <a:prstGeom prst="rect">
                          <a:avLst/>
                        </a:prstGeom>
                      </pic:spPr>
                    </pic:pic>
                  </a:graphicData>
                </a:graphic>
              </wp:inline>
            </w:drawing>
          </w:r>
        </w:p>
      </w:tc>
      <w:bookmarkEnd w:id="4"/>
    </w:tr>
  </w:tbl>
  <w:p w:rsidR="005144EC" w:rsidRDefault="005144EC" w:rsidP="00FA3E96">
    <w:pPr>
      <w:framePr w:w="11907" w:h="340" w:hRule="exact" w:wrap="notBeside" w:vAnchor="page" w:hAnchor="page" w:x="1" w:y="2727"/>
    </w:pPr>
  </w:p>
  <w:tbl>
    <w:tblPr>
      <w:tblW w:w="9209" w:type="dxa"/>
      <w:tblInd w:w="113" w:type="dxa"/>
      <w:tblLook w:val="0000" w:firstRow="0" w:lastRow="0" w:firstColumn="0" w:lastColumn="0" w:noHBand="0" w:noVBand="0"/>
    </w:tblPr>
    <w:tblGrid>
      <w:gridCol w:w="9209"/>
    </w:tblGrid>
    <w:tr w:rsidR="005144EC" w:rsidTr="00597FD6">
      <w:trPr>
        <w:trHeight w:hRule="exact" w:val="851"/>
      </w:trPr>
      <w:tc>
        <w:tcPr>
          <w:tcW w:w="9209" w:type="dxa"/>
        </w:tcPr>
        <w:p w:rsidR="005144EC" w:rsidRPr="005144EC" w:rsidRDefault="005144EC" w:rsidP="00CD289F">
          <w:pPr>
            <w:pStyle w:val="DepNavn"/>
            <w:spacing w:before="120" w:after="80"/>
            <w:ind w:left="-1701" w:right="-1099"/>
            <w:rPr>
              <w:b w:val="0"/>
              <w:spacing w:val="15"/>
            </w:rPr>
          </w:pPr>
          <w:bookmarkStart w:id="5" w:name="Avsender" w:colFirst="0" w:colLast="0"/>
          <w:bookmarkStart w:id="6" w:name="Undertekst" w:colFirst="0" w:colLast="0"/>
        </w:p>
      </w:tc>
      <w:bookmarkEnd w:id="5"/>
      <w:bookmarkEnd w:id="6"/>
    </w:tr>
  </w:tbl>
  <w:p w:rsidR="005144EC" w:rsidRDefault="005144EC" w:rsidP="00FA3E96">
    <w:pPr>
      <w:tabs>
        <w:tab w:val="left" w:pos="1134"/>
      </w:tabs>
      <w:ind w:left="-1701" w:right="-1134"/>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57" w:legacyIndent="0"/>
      <w:lvlJc w:val="left"/>
      <w:pPr>
        <w:ind w:left="567" w:firstLine="0"/>
      </w:pPr>
      <w:rPr>
        <w:rFonts w:ascii="Times New Roman" w:hAnsi="Times New Roman" w:hint="default"/>
        <w:b/>
        <w:i w:val="0"/>
        <w:sz w:val="23"/>
      </w:rPr>
    </w:lvl>
    <w:lvl w:ilvl="1">
      <w:start w:val="1"/>
      <w:numFmt w:val="decimal"/>
      <w:pStyle w:val="Heading2"/>
      <w:lvlText w:val="%1.%2"/>
      <w:legacy w:legacy="1" w:legacySpace="57" w:legacyIndent="0"/>
      <w:lvlJc w:val="left"/>
      <w:pPr>
        <w:ind w:left="567" w:firstLine="0"/>
      </w:pPr>
      <w:rPr>
        <w:rFonts w:ascii="Times New Roman" w:hAnsi="Times New Roman" w:hint="default"/>
        <w:b/>
        <w:i w:val="0"/>
        <w:sz w:val="23"/>
      </w:rPr>
    </w:lvl>
    <w:lvl w:ilvl="2">
      <w:start w:val="1"/>
      <w:numFmt w:val="decimal"/>
      <w:pStyle w:val="Heading3"/>
      <w:lvlText w:val="%1.%2.%3"/>
      <w:legacy w:legacy="1" w:legacySpace="57" w:legacyIndent="0"/>
      <w:lvlJc w:val="left"/>
      <w:pPr>
        <w:ind w:left="567"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44B363E"/>
    <w:multiLevelType w:val="singleLevel"/>
    <w:tmpl w:val="6CE047A4"/>
    <w:lvl w:ilvl="0">
      <w:start w:val="1"/>
      <w:numFmt w:val="lowerRoman"/>
      <w:lvlText w:val="(%1)"/>
      <w:legacy w:legacy="1" w:legacySpace="0" w:legacyIndent="567"/>
      <w:lvlJc w:val="left"/>
      <w:pPr>
        <w:ind w:left="567" w:hanging="567"/>
      </w:pPr>
    </w:lvl>
  </w:abstractNum>
  <w:abstractNum w:abstractNumId="2" w15:restartNumberingAfterBreak="0">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3" w15:restartNumberingAfterBreak="0">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4" w15:restartNumberingAfterBreak="0">
    <w:nsid w:val="630E673B"/>
    <w:multiLevelType w:val="singleLevel"/>
    <w:tmpl w:val="6CE047A4"/>
    <w:lvl w:ilvl="0">
      <w:start w:val="1"/>
      <w:numFmt w:val="lowerRoman"/>
      <w:lvlText w:val="(%1)"/>
      <w:legacy w:legacy="1" w:legacySpace="0" w:legacyIndent="567"/>
      <w:lvlJc w:val="left"/>
      <w:pPr>
        <w:ind w:left="567" w:hanging="567"/>
      </w:pPr>
    </w:lvl>
  </w:abstractNum>
  <w:abstractNum w:abstractNumId="5" w15:restartNumberingAfterBreak="0">
    <w:nsid w:val="64C10BBF"/>
    <w:multiLevelType w:val="singleLevel"/>
    <w:tmpl w:val="57001DF0"/>
    <w:lvl w:ilvl="0">
      <w:start w:val="1"/>
      <w:numFmt w:val="upperLetter"/>
      <w:lvlText w:val="%1."/>
      <w:legacy w:legacy="1" w:legacySpace="0" w:legacyIndent="567"/>
      <w:lvlJc w:val="left"/>
      <w:pPr>
        <w:ind w:left="567" w:hanging="567"/>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evFler" w:val="NEI"/>
    <w:docVar w:name="malsprog" w:val="en"/>
    <w:docVar w:name="runMacro" w:val="Done"/>
    <w:docVar w:name="versjon" w:val="jan_2008"/>
  </w:docVars>
  <w:rsids>
    <w:rsidRoot w:val="00C96885"/>
    <w:rsid w:val="0002661B"/>
    <w:rsid w:val="00030EFD"/>
    <w:rsid w:val="0003639B"/>
    <w:rsid w:val="00050166"/>
    <w:rsid w:val="00080D91"/>
    <w:rsid w:val="00093F85"/>
    <w:rsid w:val="00093FA1"/>
    <w:rsid w:val="000A31DD"/>
    <w:rsid w:val="000B66C4"/>
    <w:rsid w:val="000E4AE0"/>
    <w:rsid w:val="00100140"/>
    <w:rsid w:val="00107FE0"/>
    <w:rsid w:val="00116AC7"/>
    <w:rsid w:val="00144B75"/>
    <w:rsid w:val="00145750"/>
    <w:rsid w:val="00175D99"/>
    <w:rsid w:val="00192AC5"/>
    <w:rsid w:val="001C40F4"/>
    <w:rsid w:val="001D058B"/>
    <w:rsid w:val="001E0F16"/>
    <w:rsid w:val="0023669B"/>
    <w:rsid w:val="002515E1"/>
    <w:rsid w:val="002633A8"/>
    <w:rsid w:val="0027244F"/>
    <w:rsid w:val="002A03D7"/>
    <w:rsid w:val="002B0563"/>
    <w:rsid w:val="002B14DB"/>
    <w:rsid w:val="002D0DB1"/>
    <w:rsid w:val="00313722"/>
    <w:rsid w:val="00327B2F"/>
    <w:rsid w:val="0036055C"/>
    <w:rsid w:val="0038071C"/>
    <w:rsid w:val="00384171"/>
    <w:rsid w:val="0038721E"/>
    <w:rsid w:val="003F43C2"/>
    <w:rsid w:val="00413029"/>
    <w:rsid w:val="00426C1D"/>
    <w:rsid w:val="00446D85"/>
    <w:rsid w:val="004A0333"/>
    <w:rsid w:val="004E0AB3"/>
    <w:rsid w:val="004E385F"/>
    <w:rsid w:val="004F3065"/>
    <w:rsid w:val="004F70AB"/>
    <w:rsid w:val="005037E0"/>
    <w:rsid w:val="005144EC"/>
    <w:rsid w:val="00517EDD"/>
    <w:rsid w:val="005369FB"/>
    <w:rsid w:val="00563C9B"/>
    <w:rsid w:val="005824CB"/>
    <w:rsid w:val="0058414D"/>
    <w:rsid w:val="005872E6"/>
    <w:rsid w:val="00597FD6"/>
    <w:rsid w:val="005C76BF"/>
    <w:rsid w:val="005E3E3C"/>
    <w:rsid w:val="005F70AF"/>
    <w:rsid w:val="00607760"/>
    <w:rsid w:val="00642943"/>
    <w:rsid w:val="006606FA"/>
    <w:rsid w:val="006665C6"/>
    <w:rsid w:val="00670CE9"/>
    <w:rsid w:val="006A0BC1"/>
    <w:rsid w:val="006C6373"/>
    <w:rsid w:val="006E047E"/>
    <w:rsid w:val="00715D97"/>
    <w:rsid w:val="00722F30"/>
    <w:rsid w:val="007503AA"/>
    <w:rsid w:val="008011F9"/>
    <w:rsid w:val="00822195"/>
    <w:rsid w:val="00823E85"/>
    <w:rsid w:val="00835243"/>
    <w:rsid w:val="008B71CC"/>
    <w:rsid w:val="008C7F24"/>
    <w:rsid w:val="008E0035"/>
    <w:rsid w:val="008E7270"/>
    <w:rsid w:val="008F3CF8"/>
    <w:rsid w:val="00937FF0"/>
    <w:rsid w:val="00944092"/>
    <w:rsid w:val="00946C69"/>
    <w:rsid w:val="009524A3"/>
    <w:rsid w:val="00957ED1"/>
    <w:rsid w:val="00975E96"/>
    <w:rsid w:val="009A32B0"/>
    <w:rsid w:val="009D2634"/>
    <w:rsid w:val="009D6C8B"/>
    <w:rsid w:val="009E06F2"/>
    <w:rsid w:val="00A234CF"/>
    <w:rsid w:val="00A376EF"/>
    <w:rsid w:val="00A44675"/>
    <w:rsid w:val="00A67550"/>
    <w:rsid w:val="00A75720"/>
    <w:rsid w:val="00A8468C"/>
    <w:rsid w:val="00AC24AA"/>
    <w:rsid w:val="00B2495D"/>
    <w:rsid w:val="00B40A6C"/>
    <w:rsid w:val="00B415DF"/>
    <w:rsid w:val="00B46222"/>
    <w:rsid w:val="00B71E22"/>
    <w:rsid w:val="00B933FB"/>
    <w:rsid w:val="00BA31A7"/>
    <w:rsid w:val="00BA5247"/>
    <w:rsid w:val="00BB06D2"/>
    <w:rsid w:val="00C02B16"/>
    <w:rsid w:val="00C52A89"/>
    <w:rsid w:val="00C624D4"/>
    <w:rsid w:val="00C644AB"/>
    <w:rsid w:val="00C931D4"/>
    <w:rsid w:val="00C96885"/>
    <w:rsid w:val="00CD289F"/>
    <w:rsid w:val="00D670AB"/>
    <w:rsid w:val="00DD2B09"/>
    <w:rsid w:val="00DE6DF2"/>
    <w:rsid w:val="00E02266"/>
    <w:rsid w:val="00E05512"/>
    <w:rsid w:val="00E06A8F"/>
    <w:rsid w:val="00E37597"/>
    <w:rsid w:val="00E4304F"/>
    <w:rsid w:val="00E430BD"/>
    <w:rsid w:val="00E5741F"/>
    <w:rsid w:val="00E57496"/>
    <w:rsid w:val="00E57988"/>
    <w:rsid w:val="00ED1984"/>
    <w:rsid w:val="00EF1D0B"/>
    <w:rsid w:val="00F03ECF"/>
    <w:rsid w:val="00F2315F"/>
    <w:rsid w:val="00F46865"/>
    <w:rsid w:val="00F677E4"/>
    <w:rsid w:val="00FA3E96"/>
    <w:rsid w:val="00FB3625"/>
    <w:rsid w:val="00FE18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53F82D-1500-4324-8752-4CD10177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EC"/>
    <w:pPr>
      <w:spacing w:line="300" w:lineRule="atLeast"/>
    </w:pPr>
    <w:rPr>
      <w:sz w:val="24"/>
      <w:lang w:eastAsia="en-US"/>
    </w:rPr>
  </w:style>
  <w:style w:type="paragraph" w:styleId="Heading1">
    <w:name w:val="heading 1"/>
    <w:next w:val="Normal"/>
    <w:qFormat/>
    <w:rsid w:val="00446D85"/>
    <w:pPr>
      <w:keepNext/>
      <w:keepLines/>
      <w:numPr>
        <w:numId w:val="1"/>
      </w:numPr>
      <w:spacing w:before="240" w:after="120"/>
      <w:ind w:hanging="567"/>
      <w:outlineLvl w:val="0"/>
    </w:pPr>
    <w:rPr>
      <w:rFonts w:ascii="DepCentury Old Style" w:hAnsi="DepCentury Old Style"/>
      <w:b/>
      <w:caps/>
      <w:kern w:val="28"/>
      <w:sz w:val="24"/>
      <w:lang w:eastAsia="en-US"/>
    </w:rPr>
  </w:style>
  <w:style w:type="paragraph" w:styleId="Heading2">
    <w:name w:val="heading 2"/>
    <w:basedOn w:val="Heading1"/>
    <w:next w:val="Normal"/>
    <w:qFormat/>
    <w:rsid w:val="00446D85"/>
    <w:pPr>
      <w:numPr>
        <w:ilvl w:val="1"/>
      </w:numPr>
      <w:ind w:hanging="567"/>
      <w:outlineLvl w:val="1"/>
    </w:pPr>
    <w:rPr>
      <w:caps w:val="0"/>
    </w:rPr>
  </w:style>
  <w:style w:type="paragraph" w:styleId="Heading3">
    <w:name w:val="heading 3"/>
    <w:basedOn w:val="Heading2"/>
    <w:next w:val="Normal"/>
    <w:qFormat/>
    <w:rsid w:val="00446D85"/>
    <w:pPr>
      <w:numPr>
        <w:ilvl w:val="2"/>
      </w:numPr>
      <w:ind w:hanging="567"/>
      <w:outlineLvl w:val="2"/>
    </w:pPr>
    <w:rPr>
      <w:b w:val="0"/>
    </w:rPr>
  </w:style>
  <w:style w:type="paragraph" w:styleId="Heading4">
    <w:name w:val="heading 4"/>
    <w:basedOn w:val="Heading3"/>
    <w:next w:val="Normal"/>
    <w:qFormat/>
    <w:rsid w:val="00446D85"/>
    <w:pPr>
      <w:numPr>
        <w:ilvl w:val="3"/>
      </w:numPr>
      <w:ind w:hanging="1134"/>
      <w:outlineLvl w:val="3"/>
    </w:pPr>
  </w:style>
  <w:style w:type="paragraph" w:styleId="Heading5">
    <w:name w:val="heading 5"/>
    <w:basedOn w:val="Heading3"/>
    <w:next w:val="Normal"/>
    <w:qFormat/>
    <w:rsid w:val="00446D85"/>
    <w:pPr>
      <w:numPr>
        <w:ilvl w:val="4"/>
      </w:numPr>
      <w:ind w:hanging="1134"/>
      <w:outlineLvl w:val="4"/>
    </w:pPr>
  </w:style>
  <w:style w:type="paragraph" w:styleId="Heading6">
    <w:name w:val="heading 6"/>
    <w:basedOn w:val="Heading3"/>
    <w:next w:val="Normal"/>
    <w:qFormat/>
    <w:rsid w:val="00446D85"/>
    <w:pPr>
      <w:numPr>
        <w:ilvl w:val="5"/>
      </w:numPr>
      <w:outlineLvl w:val="5"/>
    </w:pPr>
  </w:style>
  <w:style w:type="paragraph" w:styleId="Heading7">
    <w:name w:val="heading 7"/>
    <w:basedOn w:val="Heading6"/>
    <w:next w:val="Normal"/>
    <w:qFormat/>
    <w:rsid w:val="00446D85"/>
    <w:pPr>
      <w:numPr>
        <w:ilvl w:val="6"/>
      </w:numPr>
      <w:outlineLvl w:val="6"/>
    </w:pPr>
  </w:style>
  <w:style w:type="paragraph" w:styleId="Heading8">
    <w:name w:val="heading 8"/>
    <w:basedOn w:val="Heading6"/>
    <w:next w:val="Normal"/>
    <w:qFormat/>
    <w:rsid w:val="00446D85"/>
    <w:pPr>
      <w:numPr>
        <w:ilvl w:val="7"/>
      </w:numPr>
      <w:outlineLvl w:val="7"/>
    </w:pPr>
  </w:style>
  <w:style w:type="paragraph" w:styleId="Heading9">
    <w:name w:val="heading 9"/>
    <w:basedOn w:val="Heading6"/>
    <w:next w:val="Normal"/>
    <w:qFormat/>
    <w:rsid w:val="00446D85"/>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46D85"/>
    <w:pPr>
      <w:tabs>
        <w:tab w:val="right" w:leader="dot" w:pos="9071"/>
      </w:tabs>
    </w:pPr>
  </w:style>
  <w:style w:type="paragraph" w:styleId="TOC2">
    <w:name w:val="toc 2"/>
    <w:basedOn w:val="Normal"/>
    <w:next w:val="Normal"/>
    <w:semiHidden/>
    <w:rsid w:val="00446D85"/>
    <w:pPr>
      <w:tabs>
        <w:tab w:val="right" w:leader="dot" w:pos="9071"/>
      </w:tabs>
      <w:ind w:left="567"/>
    </w:pPr>
  </w:style>
  <w:style w:type="paragraph" w:styleId="TOC3">
    <w:name w:val="toc 3"/>
    <w:basedOn w:val="Normal"/>
    <w:next w:val="Normal"/>
    <w:semiHidden/>
    <w:rsid w:val="00446D85"/>
    <w:pPr>
      <w:tabs>
        <w:tab w:val="right" w:leader="dot" w:pos="9071"/>
      </w:tabs>
      <w:ind w:left="567"/>
    </w:pPr>
  </w:style>
  <w:style w:type="paragraph" w:styleId="TOC4">
    <w:name w:val="toc 4"/>
    <w:basedOn w:val="Normal"/>
    <w:next w:val="Normal"/>
    <w:semiHidden/>
    <w:rsid w:val="00446D85"/>
    <w:pPr>
      <w:tabs>
        <w:tab w:val="right" w:leader="dot" w:pos="9071"/>
      </w:tabs>
      <w:ind w:left="1134"/>
    </w:pPr>
  </w:style>
  <w:style w:type="paragraph" w:styleId="TOC5">
    <w:name w:val="toc 5"/>
    <w:basedOn w:val="Normal"/>
    <w:next w:val="Normal"/>
    <w:semiHidden/>
    <w:rsid w:val="00446D85"/>
    <w:pPr>
      <w:tabs>
        <w:tab w:val="right" w:leader="dot" w:pos="9071"/>
      </w:tabs>
      <w:ind w:left="1134"/>
    </w:pPr>
  </w:style>
  <w:style w:type="paragraph" w:styleId="TOC6">
    <w:name w:val="toc 6"/>
    <w:basedOn w:val="Normal"/>
    <w:next w:val="Normal"/>
    <w:semiHidden/>
    <w:rsid w:val="00446D85"/>
    <w:pPr>
      <w:tabs>
        <w:tab w:val="right" w:leader="dot" w:pos="9071"/>
      </w:tabs>
      <w:ind w:left="1000"/>
    </w:pPr>
  </w:style>
  <w:style w:type="paragraph" w:styleId="TOC7">
    <w:name w:val="toc 7"/>
    <w:basedOn w:val="Normal"/>
    <w:next w:val="Normal"/>
    <w:semiHidden/>
    <w:rsid w:val="00446D85"/>
    <w:pPr>
      <w:tabs>
        <w:tab w:val="right" w:leader="dot" w:pos="9071"/>
      </w:tabs>
      <w:ind w:left="1200"/>
    </w:pPr>
  </w:style>
  <w:style w:type="paragraph" w:styleId="TOC8">
    <w:name w:val="toc 8"/>
    <w:basedOn w:val="Normal"/>
    <w:next w:val="Normal"/>
    <w:semiHidden/>
    <w:rsid w:val="00446D85"/>
    <w:pPr>
      <w:tabs>
        <w:tab w:val="right" w:leader="dot" w:pos="9071"/>
      </w:tabs>
      <w:ind w:left="1400"/>
    </w:pPr>
  </w:style>
  <w:style w:type="paragraph" w:styleId="TOC9">
    <w:name w:val="toc 9"/>
    <w:basedOn w:val="Normal"/>
    <w:next w:val="Normal"/>
    <w:semiHidden/>
    <w:rsid w:val="00446D85"/>
    <w:pPr>
      <w:tabs>
        <w:tab w:val="right" w:leader="dot" w:pos="9071"/>
      </w:tabs>
      <w:ind w:left="1600"/>
    </w:pPr>
  </w:style>
  <w:style w:type="paragraph" w:styleId="Footer">
    <w:name w:val="footer"/>
    <w:link w:val="FooterChar"/>
    <w:rsid w:val="00C644AB"/>
    <w:rPr>
      <w:lang w:eastAsia="en-US"/>
    </w:rPr>
  </w:style>
  <w:style w:type="paragraph" w:styleId="Header">
    <w:name w:val="header"/>
    <w:basedOn w:val="Normal"/>
    <w:rsid w:val="00446D85"/>
    <w:pPr>
      <w:tabs>
        <w:tab w:val="right" w:pos="9072"/>
      </w:tabs>
      <w:ind w:left="-1701" w:right="-1134"/>
      <w:jc w:val="center"/>
    </w:pPr>
    <w:rPr>
      <w:i/>
      <w:spacing w:val="15"/>
      <w:sz w:val="20"/>
    </w:rPr>
  </w:style>
  <w:style w:type="paragraph" w:customStyle="1" w:styleId="Brevtittel">
    <w:name w:val="Brevtittel"/>
    <w:basedOn w:val="Normal"/>
    <w:next w:val="Normal"/>
    <w:rsid w:val="00E05512"/>
    <w:pPr>
      <w:spacing w:after="120"/>
    </w:pPr>
    <w:rPr>
      <w:b/>
    </w:rPr>
  </w:style>
  <w:style w:type="paragraph" w:customStyle="1" w:styleId="Vedlegg">
    <w:name w:val="Vedlegg"/>
    <w:next w:val="Normal"/>
    <w:rsid w:val="00446D85"/>
    <w:pPr>
      <w:spacing w:after="120"/>
      <w:ind w:left="1701" w:hanging="1701"/>
      <w:jc w:val="both"/>
    </w:pPr>
    <w:rPr>
      <w:rFonts w:ascii="DepCentury Old Style" w:hAnsi="DepCentury Old Style"/>
      <w:sz w:val="24"/>
      <w:lang w:eastAsia="en-US"/>
    </w:rPr>
  </w:style>
  <w:style w:type="paragraph" w:styleId="TableofFigures">
    <w:name w:val="table of figures"/>
    <w:basedOn w:val="Normal"/>
    <w:next w:val="Normal"/>
    <w:semiHidden/>
    <w:rsid w:val="00446D85"/>
    <w:pPr>
      <w:tabs>
        <w:tab w:val="right" w:leader="dot" w:pos="9071"/>
      </w:tabs>
      <w:ind w:left="567" w:hanging="567"/>
    </w:pPr>
  </w:style>
  <w:style w:type="paragraph" w:styleId="MacroTex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DepNavn">
    <w:name w:val="DepNavn"/>
    <w:basedOn w:val="Header"/>
    <w:rsid w:val="005144EC"/>
    <w:pPr>
      <w:tabs>
        <w:tab w:val="clear" w:pos="9072"/>
      </w:tabs>
      <w:spacing w:line="240" w:lineRule="exact"/>
      <w:ind w:left="0" w:right="0"/>
    </w:pPr>
    <w:rPr>
      <w:b/>
      <w:i w:val="0"/>
      <w:spacing w:val="0"/>
    </w:rPr>
  </w:style>
  <w:style w:type="paragraph" w:styleId="BalloonText">
    <w:name w:val="Balloon Text"/>
    <w:basedOn w:val="Normal"/>
    <w:semiHidden/>
    <w:rsid w:val="00FA3E96"/>
    <w:rPr>
      <w:rFonts w:ascii="Tahoma" w:hAnsi="Tahoma" w:cs="Tahoma"/>
      <w:sz w:val="16"/>
      <w:szCs w:val="16"/>
    </w:rPr>
  </w:style>
  <w:style w:type="paragraph" w:customStyle="1" w:styleId="underskrift">
    <w:name w:val="underskrift"/>
    <w:next w:val="Normal"/>
    <w:rsid w:val="00446D85"/>
    <w:pPr>
      <w:spacing w:line="300" w:lineRule="exact"/>
      <w:ind w:left="5387"/>
    </w:pPr>
    <w:rPr>
      <w:rFonts w:ascii="DepCentury Old Style" w:hAnsi="DepCentury Old Style"/>
      <w:noProof/>
      <w:sz w:val="24"/>
      <w:lang w:val="en-US" w:eastAsia="en-US"/>
    </w:rPr>
  </w:style>
  <w:style w:type="paragraph" w:styleId="DocumentMap">
    <w:name w:val="Document Map"/>
    <w:basedOn w:val="Normal"/>
    <w:link w:val="DocumentMapChar"/>
    <w:rsid w:val="00CD289F"/>
    <w:rPr>
      <w:rFonts w:ascii="Tahoma" w:hAnsi="Tahoma" w:cs="Tahoma"/>
      <w:sz w:val="16"/>
      <w:szCs w:val="16"/>
    </w:rPr>
  </w:style>
  <w:style w:type="character" w:customStyle="1" w:styleId="DocumentMapChar">
    <w:name w:val="Document Map Char"/>
    <w:basedOn w:val="DefaultParagraphFont"/>
    <w:link w:val="DocumentMap"/>
    <w:rsid w:val="00CD289F"/>
    <w:rPr>
      <w:rFonts w:ascii="Tahoma" w:hAnsi="Tahoma" w:cs="Tahoma"/>
      <w:sz w:val="16"/>
      <w:szCs w:val="16"/>
      <w:lang w:eastAsia="en-US"/>
    </w:rPr>
  </w:style>
  <w:style w:type="character" w:styleId="CommentReference">
    <w:name w:val="annotation reference"/>
    <w:basedOn w:val="DefaultParagraphFont"/>
    <w:rsid w:val="004F70AB"/>
    <w:rPr>
      <w:sz w:val="16"/>
    </w:rPr>
  </w:style>
  <w:style w:type="paragraph" w:customStyle="1" w:styleId="refogdato">
    <w:name w:val="ref og dato"/>
    <w:basedOn w:val="Normal"/>
    <w:rsid w:val="00E05512"/>
    <w:pPr>
      <w:spacing w:before="120"/>
    </w:pPr>
    <w:rPr>
      <w:sz w:val="16"/>
    </w:rPr>
  </w:style>
  <w:style w:type="character" w:customStyle="1" w:styleId="FooterChar">
    <w:name w:val="Footer Char"/>
    <w:basedOn w:val="DefaultParagraphFont"/>
    <w:link w:val="Footer"/>
    <w:rsid w:val="008C7F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dep_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dep_brev.dotm</Template>
  <TotalTime>0</TotalTime>
  <Pages>2</Pages>
  <Words>427</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Deres ref</vt:lpstr>
      <vt:lpstr>Deres ref</vt:lpstr>
    </vt:vector>
  </TitlesOfParts>
  <Company>Konsulent Jakobsen</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creator>Katrine S. Edvardsen Espantaleón</dc:creator>
  <cp:lastModifiedBy>Cooper, Alison</cp:lastModifiedBy>
  <cp:revision>2</cp:revision>
  <cp:lastPrinted>2016-04-26T13:01:00Z</cp:lastPrinted>
  <dcterms:created xsi:type="dcterms:W3CDTF">2016-04-26T13:06:00Z</dcterms:created>
  <dcterms:modified xsi:type="dcterms:W3CDTF">2016-04-26T13:06:00Z</dcterms:modified>
  <cp:category>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Mal">
    <vt:lpwstr>Brev</vt:lpwstr>
  </property>
</Properties>
</file>