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74" w:rsidRDefault="007A008E" w:rsidP="00150174">
      <w:pPr>
        <w:rPr>
          <w:b/>
          <w:lang w:val="en-US"/>
        </w:rPr>
      </w:pPr>
      <w:r>
        <w:rPr>
          <w:b/>
          <w:bCs/>
          <w:lang w:val="en-US"/>
        </w:rPr>
        <w:t>Draft</w:t>
      </w:r>
      <w:r w:rsidR="00BA7DCB">
        <w:rPr>
          <w:b/>
          <w:bCs/>
          <w:lang w:val="en-US"/>
        </w:rPr>
        <w:t xml:space="preserve"> amendment</w:t>
      </w:r>
      <w:r>
        <w:rPr>
          <w:b/>
          <w:bCs/>
          <w:lang w:val="en-US"/>
        </w:rPr>
        <w:t>s</w:t>
      </w:r>
      <w:r w:rsidR="00BA7DC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to</w:t>
      </w:r>
      <w:r w:rsidR="00192093" w:rsidRPr="00461949">
        <w:rPr>
          <w:b/>
          <w:bCs/>
          <w:lang w:val="en-US"/>
        </w:rPr>
        <w:t xml:space="preserve"> the </w:t>
      </w:r>
      <w:r w:rsidR="00150174" w:rsidRPr="00461949">
        <w:rPr>
          <w:b/>
          <w:bCs/>
          <w:lang w:val="en-US"/>
        </w:rPr>
        <w:t>Regulations on Radiation Protection and Use of Radiation (Radiation</w:t>
      </w:r>
      <w:r w:rsidR="00192093" w:rsidRPr="00461949">
        <w:rPr>
          <w:b/>
          <w:bCs/>
          <w:lang w:val="en-US"/>
        </w:rPr>
        <w:t xml:space="preserve"> </w:t>
      </w:r>
      <w:r w:rsidR="00150174" w:rsidRPr="00461949">
        <w:rPr>
          <w:b/>
          <w:bCs/>
          <w:lang w:val="en-US"/>
        </w:rPr>
        <w:t>Protection Regulations</w:t>
      </w:r>
      <w:r w:rsidR="00BA7DCB">
        <w:rPr>
          <w:b/>
          <w:bCs/>
          <w:lang w:val="en-US"/>
        </w:rPr>
        <w:t xml:space="preserve">, </w:t>
      </w:r>
      <w:r w:rsidR="00BA7DCB" w:rsidRPr="00BA7DCB">
        <w:rPr>
          <w:b/>
          <w:lang w:val="en-US"/>
        </w:rPr>
        <w:t>No. 1380 of 29 October 2010</w:t>
      </w:r>
      <w:r w:rsidR="00BA7DCB">
        <w:rPr>
          <w:b/>
          <w:lang w:val="en-US"/>
        </w:rPr>
        <w:t>)</w:t>
      </w:r>
    </w:p>
    <w:p w:rsidR="007A008E" w:rsidRDefault="007A008E" w:rsidP="00150174">
      <w:pPr>
        <w:rPr>
          <w:b/>
          <w:lang w:val="en-US"/>
        </w:rPr>
      </w:pPr>
    </w:p>
    <w:p w:rsidR="007A008E" w:rsidRPr="00534E04" w:rsidRDefault="007A008E" w:rsidP="007A008E">
      <w:pPr>
        <w:rPr>
          <w:lang w:val="en-GB"/>
        </w:rPr>
      </w:pPr>
      <w:r w:rsidRPr="00534E04">
        <w:rPr>
          <w:lang w:val="en-GB"/>
        </w:rPr>
        <w:t xml:space="preserve">Additions and amendments are italicised. </w:t>
      </w:r>
    </w:p>
    <w:p w:rsidR="007A008E" w:rsidRPr="00461949" w:rsidRDefault="007A008E" w:rsidP="00150174">
      <w:pPr>
        <w:rPr>
          <w:lang w:val="en-US"/>
        </w:rPr>
      </w:pPr>
    </w:p>
    <w:p w:rsidR="00150174" w:rsidRPr="00461949" w:rsidRDefault="00150174" w:rsidP="0003078F">
      <w:pPr>
        <w:rPr>
          <w:lang w:val="en-US"/>
        </w:rPr>
      </w:pPr>
    </w:p>
    <w:p w:rsidR="00CF6712" w:rsidRDefault="004F293D" w:rsidP="00CF6712">
      <w:pPr>
        <w:jc w:val="center"/>
        <w:rPr>
          <w:b/>
          <w:lang w:val="en-US"/>
        </w:rPr>
      </w:pPr>
      <w:r w:rsidRPr="00461949">
        <w:rPr>
          <w:b/>
          <w:lang w:val="en-US"/>
        </w:rPr>
        <w:t xml:space="preserve">I </w:t>
      </w:r>
    </w:p>
    <w:p w:rsidR="007A008E" w:rsidRPr="00461949" w:rsidRDefault="007A008E" w:rsidP="00CF6712">
      <w:pPr>
        <w:jc w:val="center"/>
        <w:rPr>
          <w:b/>
          <w:lang w:val="en-US"/>
        </w:rPr>
      </w:pPr>
    </w:p>
    <w:p w:rsidR="00192093" w:rsidRPr="00461949" w:rsidRDefault="00192093" w:rsidP="0003078F">
      <w:pPr>
        <w:rPr>
          <w:lang w:val="en-US"/>
        </w:rPr>
      </w:pPr>
      <w:r w:rsidRPr="00461949">
        <w:rPr>
          <w:lang w:val="en-US"/>
        </w:rPr>
        <w:t>Pursuant to the Radiation Protection Regulations (</w:t>
      </w:r>
      <w:r w:rsidR="00BA7DCB">
        <w:rPr>
          <w:lang w:val="en-US"/>
        </w:rPr>
        <w:t xml:space="preserve">No. 1380 of </w:t>
      </w:r>
      <w:r w:rsidR="00EE626D">
        <w:rPr>
          <w:lang w:val="en-US"/>
        </w:rPr>
        <w:t>29 October 2010</w:t>
      </w:r>
      <w:r w:rsidR="00D477ED" w:rsidRPr="00461949">
        <w:rPr>
          <w:lang w:val="en-US"/>
        </w:rPr>
        <w:t>), the Ministry of Healt and Care Services herby lays down</w:t>
      </w:r>
    </w:p>
    <w:p w:rsidR="00D477ED" w:rsidRPr="00461949" w:rsidRDefault="00D477ED" w:rsidP="0003078F">
      <w:pPr>
        <w:rPr>
          <w:lang w:val="en-US"/>
        </w:rPr>
      </w:pPr>
      <w:r w:rsidRPr="00461949">
        <w:rPr>
          <w:lang w:val="en-US"/>
        </w:rPr>
        <w:tab/>
      </w:r>
      <w:proofErr w:type="gramStart"/>
      <w:r w:rsidRPr="00461949">
        <w:rPr>
          <w:i/>
          <w:lang w:val="en-US"/>
        </w:rPr>
        <w:t>that</w:t>
      </w:r>
      <w:proofErr w:type="gramEnd"/>
      <w:r w:rsidR="00E3379F">
        <w:rPr>
          <w:lang w:val="en-US"/>
        </w:rPr>
        <w:t xml:space="preserve"> S</w:t>
      </w:r>
      <w:r w:rsidRPr="00461949">
        <w:rPr>
          <w:lang w:val="en-US"/>
        </w:rPr>
        <w:t xml:space="preserve">ection 4, first pargraph, </w:t>
      </w:r>
      <w:r w:rsidR="00CF6712" w:rsidRPr="00461949">
        <w:rPr>
          <w:lang w:val="en-US"/>
        </w:rPr>
        <w:t>litra l shall be worded as shown below,</w:t>
      </w:r>
    </w:p>
    <w:p w:rsidR="00CF6712" w:rsidRPr="00461949" w:rsidRDefault="00CF6712" w:rsidP="0003078F">
      <w:pPr>
        <w:rPr>
          <w:lang w:val="en-US"/>
        </w:rPr>
      </w:pPr>
      <w:r w:rsidRPr="00461949">
        <w:rPr>
          <w:lang w:val="en-US"/>
        </w:rPr>
        <w:tab/>
      </w:r>
      <w:proofErr w:type="gramStart"/>
      <w:r w:rsidRPr="00461949">
        <w:rPr>
          <w:i/>
          <w:lang w:val="en-US"/>
        </w:rPr>
        <w:t>that</w:t>
      </w:r>
      <w:proofErr w:type="gramEnd"/>
      <w:r w:rsidR="00E3379F">
        <w:rPr>
          <w:lang w:val="en-US"/>
        </w:rPr>
        <w:t xml:space="preserve"> S</w:t>
      </w:r>
      <w:r w:rsidRPr="00461949">
        <w:rPr>
          <w:lang w:val="en-US"/>
        </w:rPr>
        <w:t>ection 8, second paragraph, litra s shall be worded as shown below,</w:t>
      </w:r>
    </w:p>
    <w:p w:rsidR="00CF6712" w:rsidRPr="00461949" w:rsidRDefault="00CF6712" w:rsidP="0003078F">
      <w:pPr>
        <w:rPr>
          <w:lang w:val="en-US"/>
        </w:rPr>
      </w:pPr>
      <w:r w:rsidRPr="00461949">
        <w:rPr>
          <w:lang w:val="en-US"/>
        </w:rPr>
        <w:tab/>
      </w:r>
      <w:proofErr w:type="gramStart"/>
      <w:r w:rsidRPr="00461949">
        <w:rPr>
          <w:i/>
          <w:lang w:val="en-US"/>
        </w:rPr>
        <w:t>that</w:t>
      </w:r>
      <w:proofErr w:type="gramEnd"/>
      <w:r w:rsidRPr="00461949">
        <w:rPr>
          <w:lang w:val="en-US"/>
        </w:rPr>
        <w:t xml:space="preserve"> three new paragraphs shall be inserted into the end of section 8, and shall be worded as shown below. </w:t>
      </w:r>
    </w:p>
    <w:p w:rsidR="00192093" w:rsidRPr="00461949" w:rsidRDefault="00192093" w:rsidP="0003078F">
      <w:pPr>
        <w:rPr>
          <w:lang w:val="en-US"/>
        </w:rPr>
      </w:pPr>
    </w:p>
    <w:p w:rsidR="004319A1" w:rsidRPr="00461949" w:rsidRDefault="004319A1" w:rsidP="0003078F">
      <w:pPr>
        <w:rPr>
          <w:lang w:val="en-US"/>
        </w:rPr>
      </w:pPr>
      <w:r w:rsidRPr="00461949">
        <w:rPr>
          <w:lang w:val="en-US"/>
        </w:rPr>
        <w:t>Section 4</w:t>
      </w:r>
      <w:r w:rsidR="00D477ED" w:rsidRPr="00461949">
        <w:rPr>
          <w:lang w:val="en-US"/>
        </w:rPr>
        <w:t>,</w:t>
      </w:r>
      <w:r w:rsidRPr="00461949">
        <w:rPr>
          <w:lang w:val="en-US"/>
        </w:rPr>
        <w:t xml:space="preserve"> first paragraph</w:t>
      </w:r>
      <w:r w:rsidR="00D477ED" w:rsidRPr="00461949">
        <w:rPr>
          <w:lang w:val="en-US"/>
        </w:rPr>
        <w:t xml:space="preserve">, </w:t>
      </w:r>
      <w:r w:rsidRPr="00461949">
        <w:rPr>
          <w:lang w:val="en-US"/>
        </w:rPr>
        <w:t xml:space="preserve">litra l shall </w:t>
      </w:r>
      <w:r w:rsidR="00CF6712" w:rsidRPr="00461949">
        <w:rPr>
          <w:lang w:val="en-US"/>
        </w:rPr>
        <w:t>be worded</w:t>
      </w:r>
      <w:r w:rsidRPr="00461949">
        <w:rPr>
          <w:lang w:val="en-US"/>
        </w:rPr>
        <w:t xml:space="preserve">: </w:t>
      </w:r>
    </w:p>
    <w:p w:rsidR="00CF6712" w:rsidRPr="00461949" w:rsidRDefault="00CF6712" w:rsidP="00325BB1">
      <w:pPr>
        <w:ind w:firstLine="708"/>
        <w:rPr>
          <w:rFonts w:cs="TimesNewRomanPSMT"/>
          <w:szCs w:val="24"/>
          <w:lang w:val="en-US"/>
        </w:rPr>
      </w:pPr>
    </w:p>
    <w:p w:rsidR="0003078F" w:rsidRPr="00461949" w:rsidRDefault="00CF6712" w:rsidP="00325BB1">
      <w:pPr>
        <w:ind w:firstLine="708"/>
        <w:rPr>
          <w:rFonts w:cs="TimesNewRomanPSMT"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 xml:space="preserve"> </w:t>
      </w:r>
      <w:r w:rsidR="0003078F" w:rsidRPr="00461949">
        <w:rPr>
          <w:rFonts w:cs="TimesNewRomanPSMT"/>
          <w:szCs w:val="24"/>
          <w:lang w:val="en-US"/>
        </w:rPr>
        <w:t xml:space="preserve">(l) </w:t>
      </w:r>
      <w:proofErr w:type="gramStart"/>
      <w:r w:rsidR="0003078F" w:rsidRPr="00461949">
        <w:rPr>
          <w:rFonts w:cs="Times New Roman"/>
          <w:i/>
          <w:iCs/>
          <w:szCs w:val="24"/>
          <w:lang w:val="en-US"/>
        </w:rPr>
        <w:t>laser</w:t>
      </w:r>
      <w:proofErr w:type="gramEnd"/>
      <w:r w:rsidR="0003078F" w:rsidRPr="00461949">
        <w:rPr>
          <w:rFonts w:cs="Times New Roman"/>
          <w:i/>
          <w:iCs/>
          <w:szCs w:val="24"/>
          <w:lang w:val="en-US"/>
        </w:rPr>
        <w:t xml:space="preserve"> pointer</w:t>
      </w:r>
      <w:r w:rsidR="0003078F" w:rsidRPr="00461949">
        <w:rPr>
          <w:rFonts w:cs="TimesNewRomanPSMT"/>
          <w:szCs w:val="24"/>
          <w:lang w:val="en-US"/>
        </w:rPr>
        <w:t>: a handheld laser, battery operated or with other separate power</w:t>
      </w:r>
    </w:p>
    <w:p w:rsidR="0003078F" w:rsidRPr="00C35DF8" w:rsidRDefault="00150174" w:rsidP="0003078F">
      <w:pPr>
        <w:rPr>
          <w:rFonts w:cs="TimesNewRomanPSMT"/>
          <w:i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>s</w:t>
      </w:r>
      <w:r w:rsidR="0003078F" w:rsidRPr="00461949">
        <w:rPr>
          <w:rFonts w:cs="TimesNewRomanPSMT"/>
          <w:szCs w:val="24"/>
          <w:lang w:val="en-US"/>
        </w:rPr>
        <w:t>upply</w:t>
      </w:r>
      <w:r w:rsidRPr="00461949">
        <w:rPr>
          <w:rFonts w:cs="TimesNewRomanPSMT"/>
          <w:szCs w:val="24"/>
          <w:lang w:val="en-US"/>
        </w:rPr>
        <w:t xml:space="preserve"> </w:t>
      </w:r>
      <w:r w:rsidRPr="00461949">
        <w:rPr>
          <w:rFonts w:cs="TimesNewRomanPSMT"/>
          <w:i/>
          <w:szCs w:val="24"/>
          <w:lang w:val="en-US"/>
        </w:rPr>
        <w:t>with a voltage</w:t>
      </w:r>
      <w:r w:rsidR="00C35DF8">
        <w:rPr>
          <w:rFonts w:cs="TimesNewRomanPSMT"/>
          <w:i/>
          <w:szCs w:val="24"/>
          <w:lang w:val="en-US"/>
        </w:rPr>
        <w:t xml:space="preserve"> rating</w:t>
      </w:r>
      <w:r w:rsidRPr="00461949">
        <w:rPr>
          <w:rFonts w:cs="TimesNewRomanPSMT"/>
          <w:i/>
          <w:szCs w:val="24"/>
          <w:lang w:val="en-US"/>
        </w:rPr>
        <w:t xml:space="preserve"> lower than 50 V for </w:t>
      </w:r>
      <w:r w:rsidR="00325BB1" w:rsidRPr="00461949">
        <w:rPr>
          <w:rFonts w:cs="TimesNewRomanPSMT"/>
          <w:i/>
          <w:szCs w:val="24"/>
          <w:lang w:val="en-US"/>
        </w:rPr>
        <w:t>alternating current and 75 V for direct current</w:t>
      </w:r>
      <w:r w:rsidR="0003078F" w:rsidRPr="00461949">
        <w:rPr>
          <w:rFonts w:cs="TimesNewRomanPSMT"/>
          <w:i/>
          <w:szCs w:val="24"/>
          <w:lang w:val="en-US"/>
        </w:rPr>
        <w:t>,</w:t>
      </w:r>
      <w:r w:rsidR="0003078F" w:rsidRPr="00461949">
        <w:rPr>
          <w:rFonts w:cs="TimesNewRomanPSMT"/>
          <w:szCs w:val="24"/>
          <w:lang w:val="en-US"/>
        </w:rPr>
        <w:t xml:space="preserve"> intended to be held in the hand and to point out an object on a distance;</w:t>
      </w:r>
    </w:p>
    <w:p w:rsidR="0003078F" w:rsidRPr="00461949" w:rsidRDefault="0003078F" w:rsidP="0003078F">
      <w:pPr>
        <w:rPr>
          <w:rFonts w:cs="TimesNewRomanPSMT"/>
          <w:szCs w:val="24"/>
          <w:lang w:val="en-US"/>
        </w:rPr>
      </w:pPr>
    </w:p>
    <w:p w:rsidR="00150174" w:rsidRPr="00461949" w:rsidRDefault="00150174" w:rsidP="0003078F">
      <w:pPr>
        <w:rPr>
          <w:rFonts w:cs="TimesNewRomanPSMT"/>
          <w:szCs w:val="24"/>
          <w:lang w:val="en-US"/>
        </w:rPr>
      </w:pPr>
    </w:p>
    <w:p w:rsidR="004319A1" w:rsidRPr="00461949" w:rsidRDefault="004319A1" w:rsidP="0003078F">
      <w:pPr>
        <w:rPr>
          <w:rFonts w:cs="TimesNewRomanPSMT"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 xml:space="preserve">Section 8 second paragraph litra s shall </w:t>
      </w:r>
      <w:r w:rsidR="00CF6712" w:rsidRPr="00461949">
        <w:rPr>
          <w:rFonts w:cs="TimesNewRomanPSMT"/>
          <w:szCs w:val="24"/>
          <w:lang w:val="en-US"/>
        </w:rPr>
        <w:t>be worded</w:t>
      </w:r>
      <w:r w:rsidRPr="00461949">
        <w:rPr>
          <w:rFonts w:cs="TimesNewRomanPSMT"/>
          <w:szCs w:val="24"/>
          <w:lang w:val="en-US"/>
        </w:rPr>
        <w:t xml:space="preserve">: </w:t>
      </w:r>
    </w:p>
    <w:p w:rsidR="004319A1" w:rsidRPr="00461949" w:rsidRDefault="004319A1" w:rsidP="0003078F">
      <w:pPr>
        <w:rPr>
          <w:rFonts w:cs="TimesNewRomanPSMT"/>
          <w:szCs w:val="24"/>
          <w:lang w:val="en-US"/>
        </w:rPr>
      </w:pPr>
    </w:p>
    <w:p w:rsidR="0003078F" w:rsidRPr="00461949" w:rsidRDefault="0082450F" w:rsidP="0003078F">
      <w:pPr>
        <w:rPr>
          <w:rFonts w:cs="TimesNewRomanPSMT"/>
          <w:szCs w:val="24"/>
          <w:lang w:val="en-US"/>
        </w:rPr>
      </w:pPr>
      <w:r>
        <w:rPr>
          <w:rFonts w:cs="TimesNewRomanPSMT"/>
          <w:i/>
          <w:szCs w:val="24"/>
          <w:lang w:val="en-US"/>
        </w:rPr>
        <w:t xml:space="preserve">Undertakings </w:t>
      </w:r>
      <w:r w:rsidR="00D576C0" w:rsidRPr="00D576C0">
        <w:rPr>
          <w:rFonts w:cs="TimesNewRomanPSMT"/>
          <w:i/>
          <w:szCs w:val="24"/>
          <w:lang w:val="en-US"/>
        </w:rPr>
        <w:t xml:space="preserve">that will practise any </w:t>
      </w:r>
      <w:r w:rsidR="00BF49D5">
        <w:rPr>
          <w:rFonts w:cs="TimesNewRomanPSMT"/>
          <w:i/>
          <w:szCs w:val="24"/>
          <w:lang w:val="en-US"/>
        </w:rPr>
        <w:t xml:space="preserve">of </w:t>
      </w:r>
      <w:r w:rsidR="00D576C0" w:rsidRPr="00D576C0">
        <w:rPr>
          <w:rFonts w:cs="TimesNewRomanPSMT"/>
          <w:i/>
          <w:szCs w:val="24"/>
          <w:lang w:val="en-US"/>
        </w:rPr>
        <w:t>t</w:t>
      </w:r>
      <w:r w:rsidR="0003078F" w:rsidRPr="00D576C0">
        <w:rPr>
          <w:rFonts w:cs="TimesNewRomanPSMT"/>
          <w:i/>
          <w:szCs w:val="24"/>
          <w:lang w:val="en-US"/>
        </w:rPr>
        <w:t>he following activities</w:t>
      </w:r>
      <w:r w:rsidR="0003078F" w:rsidRPr="00461949">
        <w:rPr>
          <w:rFonts w:cs="TimesNewRomanPSMT"/>
          <w:szCs w:val="24"/>
          <w:lang w:val="en-US"/>
        </w:rPr>
        <w:t xml:space="preserve"> regarding non-ionising radiation shall be subject to</w:t>
      </w:r>
      <w:r w:rsidR="00D576C0">
        <w:rPr>
          <w:rFonts w:cs="TimesNewRomanPSMT"/>
          <w:szCs w:val="24"/>
          <w:lang w:val="en-US"/>
        </w:rPr>
        <w:t xml:space="preserve"> </w:t>
      </w:r>
      <w:r w:rsidR="0003078F" w:rsidRPr="00461949">
        <w:rPr>
          <w:rFonts w:cs="TimesNewRomanPSMT"/>
          <w:szCs w:val="24"/>
          <w:lang w:val="en-US"/>
        </w:rPr>
        <w:t>authorization by the Norwegian Radiation Protection Authority:</w:t>
      </w:r>
    </w:p>
    <w:p w:rsidR="0003078F" w:rsidRPr="00461949" w:rsidRDefault="0003078F" w:rsidP="0003078F">
      <w:pPr>
        <w:rPr>
          <w:rFonts w:cs="TimesNewRomanPSMT"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 xml:space="preserve">(s) </w:t>
      </w:r>
      <w:r w:rsidR="0082450F">
        <w:rPr>
          <w:rFonts w:cs="TimesNewRomanPSMT"/>
          <w:szCs w:val="24"/>
          <w:lang w:val="en-US"/>
        </w:rPr>
        <w:t>P</w:t>
      </w:r>
      <w:r w:rsidRPr="00461949">
        <w:rPr>
          <w:rFonts w:cs="TimesNewRomanPSMT"/>
          <w:szCs w:val="24"/>
          <w:lang w:val="en-US"/>
        </w:rPr>
        <w:t>rocurement and use of magnetic resonance imaging (MRI) for</w:t>
      </w:r>
      <w:r w:rsidR="00D576C0">
        <w:rPr>
          <w:rFonts w:cs="TimesNewRomanPSMT"/>
          <w:szCs w:val="24"/>
          <w:lang w:val="en-US"/>
        </w:rPr>
        <w:t xml:space="preserve"> </w:t>
      </w:r>
      <w:r w:rsidR="004319A1" w:rsidRPr="00461949">
        <w:rPr>
          <w:rFonts w:cs="TimesNewRomanPSMT"/>
          <w:szCs w:val="24"/>
          <w:lang w:val="en-US"/>
        </w:rPr>
        <w:t>medical purposes.</w:t>
      </w:r>
    </w:p>
    <w:p w:rsidR="0003078F" w:rsidRPr="00461949" w:rsidRDefault="0003078F" w:rsidP="0003078F">
      <w:pPr>
        <w:rPr>
          <w:rFonts w:cs="TimesNewRomanPSMT"/>
          <w:szCs w:val="24"/>
          <w:lang w:val="en-US"/>
        </w:rPr>
      </w:pPr>
    </w:p>
    <w:p w:rsidR="0003078F" w:rsidRDefault="004319A1" w:rsidP="0003078F">
      <w:pPr>
        <w:rPr>
          <w:rFonts w:cs="TimesNewRomanPSMT"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>Section 8 n</w:t>
      </w:r>
      <w:r w:rsidR="0003078F" w:rsidRPr="00461949">
        <w:rPr>
          <w:rFonts w:cs="TimesNewRomanPSMT"/>
          <w:szCs w:val="24"/>
          <w:lang w:val="en-US"/>
        </w:rPr>
        <w:t xml:space="preserve">ew paragraph three, four and five </w:t>
      </w:r>
      <w:r w:rsidR="00150174" w:rsidRPr="00461949">
        <w:rPr>
          <w:rFonts w:cs="TimesNewRomanPSMT"/>
          <w:szCs w:val="24"/>
          <w:lang w:val="en-US"/>
        </w:rPr>
        <w:t xml:space="preserve">shall </w:t>
      </w:r>
      <w:r w:rsidR="00CF6712" w:rsidRPr="00461949">
        <w:rPr>
          <w:rFonts w:cs="TimesNewRomanPSMT"/>
          <w:szCs w:val="24"/>
          <w:lang w:val="en-US"/>
        </w:rPr>
        <w:t>be worded</w:t>
      </w:r>
      <w:r w:rsidR="00150174" w:rsidRPr="00461949">
        <w:rPr>
          <w:rFonts w:cs="TimesNewRomanPSMT"/>
          <w:szCs w:val="24"/>
          <w:lang w:val="en-US"/>
        </w:rPr>
        <w:t xml:space="preserve">: </w:t>
      </w:r>
    </w:p>
    <w:p w:rsidR="00107CF6" w:rsidRPr="00461949" w:rsidRDefault="00107CF6" w:rsidP="0003078F">
      <w:pPr>
        <w:rPr>
          <w:rFonts w:cs="TimesNewRomanPSMT"/>
          <w:szCs w:val="24"/>
          <w:lang w:val="en-US"/>
        </w:rPr>
      </w:pPr>
    </w:p>
    <w:p w:rsidR="005A774F" w:rsidRPr="00107CF6" w:rsidRDefault="00337EBF" w:rsidP="0003078F">
      <w:pPr>
        <w:rPr>
          <w:rFonts w:cs="TimesNewRomanPSMT"/>
          <w:i/>
          <w:szCs w:val="24"/>
          <w:lang w:val="en-US"/>
        </w:rPr>
      </w:pPr>
      <w:r w:rsidRPr="00461949">
        <w:rPr>
          <w:rFonts w:cs="TimesNewRomanPSMT"/>
          <w:szCs w:val="24"/>
          <w:lang w:val="en-US"/>
        </w:rPr>
        <w:tab/>
      </w:r>
      <w:r w:rsidRPr="00107CF6">
        <w:rPr>
          <w:rFonts w:cs="TimesNewRomanPSMT"/>
          <w:i/>
          <w:szCs w:val="24"/>
          <w:lang w:val="en-US"/>
        </w:rPr>
        <w:t xml:space="preserve">It is forbidden to own, possess, manufacture, import, export, </w:t>
      </w:r>
      <w:r w:rsidR="005A774F" w:rsidRPr="00107CF6">
        <w:rPr>
          <w:rFonts w:cs="TimesNewRomanPSMT"/>
          <w:i/>
          <w:szCs w:val="24"/>
          <w:lang w:val="en-US"/>
        </w:rPr>
        <w:t>transfer</w:t>
      </w:r>
      <w:r w:rsidRPr="00107CF6">
        <w:rPr>
          <w:rFonts w:cs="TimesNewRomanPSMT"/>
          <w:i/>
          <w:szCs w:val="24"/>
          <w:lang w:val="en-US"/>
        </w:rPr>
        <w:t xml:space="preserve">, lease, </w:t>
      </w:r>
      <w:r w:rsidR="005A774F" w:rsidRPr="00107CF6">
        <w:rPr>
          <w:rFonts w:cs="TimesNewRomanPSMT"/>
          <w:i/>
          <w:szCs w:val="24"/>
          <w:lang w:val="en-US"/>
        </w:rPr>
        <w:t xml:space="preserve">use or sell laser pointers </w:t>
      </w:r>
      <w:r w:rsidR="00116CCE">
        <w:rPr>
          <w:rFonts w:cs="TimesNewRomanPSMT"/>
          <w:i/>
          <w:szCs w:val="24"/>
          <w:lang w:val="en-US"/>
        </w:rPr>
        <w:t>that meet the criteria for laser classes</w:t>
      </w:r>
      <w:r w:rsidR="005A774F" w:rsidRPr="00107CF6">
        <w:rPr>
          <w:rFonts w:cs="TimesNewRomanPSMT"/>
          <w:i/>
          <w:szCs w:val="24"/>
          <w:lang w:val="en-US"/>
        </w:rPr>
        <w:t xml:space="preserve"> 3R, 3B or 4, w</w:t>
      </w:r>
      <w:r w:rsidRPr="00107CF6">
        <w:rPr>
          <w:rFonts w:cs="TimesNewRomanPSMT"/>
          <w:i/>
          <w:szCs w:val="24"/>
          <w:lang w:val="en-US"/>
        </w:rPr>
        <w:t>ithout a permit</w:t>
      </w:r>
      <w:r w:rsidR="005A774F" w:rsidRPr="00107CF6">
        <w:rPr>
          <w:rFonts w:cs="TimesNewRomanPSMT"/>
          <w:i/>
          <w:szCs w:val="24"/>
          <w:lang w:val="en-US"/>
        </w:rPr>
        <w:t xml:space="preserve"> from the Norwegian Radiation Protection Authority. Permit may only be g</w:t>
      </w:r>
      <w:r w:rsidR="00FA50EE" w:rsidRPr="00107CF6">
        <w:rPr>
          <w:rFonts w:cs="TimesNewRomanPSMT"/>
          <w:i/>
          <w:szCs w:val="24"/>
          <w:lang w:val="en-US"/>
        </w:rPr>
        <w:t>ranted</w:t>
      </w:r>
      <w:r w:rsidR="005A774F" w:rsidRPr="00107CF6">
        <w:rPr>
          <w:rFonts w:cs="TimesNewRomanPSMT"/>
          <w:i/>
          <w:szCs w:val="24"/>
          <w:lang w:val="en-US"/>
        </w:rPr>
        <w:t xml:space="preserve"> if:</w:t>
      </w:r>
    </w:p>
    <w:p w:rsidR="00FA50EE" w:rsidRPr="00107CF6" w:rsidRDefault="005A774F" w:rsidP="005A774F">
      <w:pPr>
        <w:pStyle w:val="Listeavsnitt"/>
        <w:numPr>
          <w:ilvl w:val="0"/>
          <w:numId w:val="15"/>
        </w:numPr>
        <w:rPr>
          <w:rFonts w:cs="TimesNewRomanPSMT"/>
          <w:i/>
          <w:szCs w:val="24"/>
          <w:lang w:val="en-US"/>
        </w:rPr>
      </w:pPr>
      <w:r w:rsidRPr="00107CF6">
        <w:rPr>
          <w:rFonts w:cs="TimesNewRomanPSMT"/>
          <w:i/>
          <w:szCs w:val="24"/>
          <w:lang w:val="en-US"/>
        </w:rPr>
        <w:t xml:space="preserve">the applicant can document that the laser pointer is </w:t>
      </w:r>
      <w:r w:rsidR="00991E3A" w:rsidRPr="00107CF6">
        <w:rPr>
          <w:rFonts w:cs="TimesNewRomanPSMT"/>
          <w:i/>
          <w:szCs w:val="24"/>
          <w:lang w:val="en-US"/>
        </w:rPr>
        <w:t>designed</w:t>
      </w:r>
      <w:r w:rsidR="00FA50EE" w:rsidRPr="00107CF6">
        <w:rPr>
          <w:rFonts w:cs="TimesNewRomanPSMT"/>
          <w:i/>
          <w:szCs w:val="24"/>
          <w:lang w:val="en-US"/>
        </w:rPr>
        <w:t xml:space="preserve">, classified and labelled </w:t>
      </w:r>
      <w:r w:rsidRPr="00107CF6">
        <w:rPr>
          <w:rFonts w:cs="TimesNewRomanPSMT"/>
          <w:i/>
          <w:szCs w:val="24"/>
          <w:lang w:val="en-US"/>
        </w:rPr>
        <w:t>in accordance with</w:t>
      </w:r>
      <w:r w:rsidR="00FA50EE" w:rsidRPr="00107CF6">
        <w:rPr>
          <w:rFonts w:cs="TimesNewRomanPSMT"/>
          <w:i/>
          <w:szCs w:val="24"/>
          <w:lang w:val="en-US"/>
        </w:rPr>
        <w:t xml:space="preserve"> the requirements in </w:t>
      </w:r>
      <w:r w:rsidR="00E3379F">
        <w:rPr>
          <w:rFonts w:cs="TimesNewRomanPSMT"/>
          <w:i/>
          <w:szCs w:val="24"/>
          <w:lang w:val="en-US"/>
        </w:rPr>
        <w:t>S</w:t>
      </w:r>
      <w:r w:rsidR="00FA50EE" w:rsidRPr="00107CF6">
        <w:rPr>
          <w:rFonts w:cs="TimesNewRomanPSMT"/>
          <w:i/>
          <w:szCs w:val="24"/>
          <w:lang w:val="en-US"/>
        </w:rPr>
        <w:t>ection 35, and</w:t>
      </w:r>
    </w:p>
    <w:p w:rsidR="00337EBF" w:rsidRPr="00107CF6" w:rsidRDefault="00FA50EE" w:rsidP="005A774F">
      <w:pPr>
        <w:pStyle w:val="Listeavsnitt"/>
        <w:numPr>
          <w:ilvl w:val="0"/>
          <w:numId w:val="15"/>
        </w:numPr>
        <w:rPr>
          <w:rFonts w:cs="TimesNewRomanPSMT"/>
          <w:i/>
          <w:szCs w:val="24"/>
          <w:lang w:val="en-US"/>
        </w:rPr>
      </w:pPr>
      <w:r w:rsidRPr="00107CF6">
        <w:rPr>
          <w:rFonts w:cs="TimesNewRomanPSMT"/>
          <w:i/>
          <w:szCs w:val="24"/>
          <w:lang w:val="en-US"/>
        </w:rPr>
        <w:t xml:space="preserve">the applicant can document that the intended use of the laser pointer is justified in accordance with </w:t>
      </w:r>
      <w:r w:rsidR="00E3379F">
        <w:rPr>
          <w:rFonts w:cs="TimesNewRomanPSMT"/>
          <w:i/>
          <w:szCs w:val="24"/>
          <w:lang w:val="en-US"/>
        </w:rPr>
        <w:t>S</w:t>
      </w:r>
      <w:r w:rsidRPr="00107CF6">
        <w:rPr>
          <w:rFonts w:cs="TimesNewRomanPSMT"/>
          <w:i/>
          <w:szCs w:val="24"/>
          <w:lang w:val="en-US"/>
        </w:rPr>
        <w:t xml:space="preserve">ection 5, </w:t>
      </w:r>
    </w:p>
    <w:p w:rsidR="00FA50EE" w:rsidRPr="00107CF6" w:rsidRDefault="00FA50EE" w:rsidP="005A774F">
      <w:pPr>
        <w:pStyle w:val="Listeavsnitt"/>
        <w:numPr>
          <w:ilvl w:val="0"/>
          <w:numId w:val="15"/>
        </w:numPr>
        <w:rPr>
          <w:rFonts w:cs="TimesNewRomanPSMT"/>
          <w:i/>
          <w:szCs w:val="24"/>
          <w:lang w:val="en-US"/>
        </w:rPr>
      </w:pPr>
      <w:proofErr w:type="gramStart"/>
      <w:r w:rsidRPr="00107CF6">
        <w:rPr>
          <w:rFonts w:cs="TimesNewRomanPSMT"/>
          <w:i/>
          <w:szCs w:val="24"/>
          <w:lang w:val="en-US"/>
        </w:rPr>
        <w:t>there</w:t>
      </w:r>
      <w:proofErr w:type="gramEnd"/>
      <w:r w:rsidRPr="00107CF6">
        <w:rPr>
          <w:rFonts w:cs="TimesNewRomanPSMT"/>
          <w:i/>
          <w:szCs w:val="24"/>
          <w:lang w:val="en-US"/>
        </w:rPr>
        <w:t xml:space="preserve"> is no reason to assume that the laser pointer will be </w:t>
      </w:r>
      <w:r w:rsidR="00357B28">
        <w:rPr>
          <w:rFonts w:cs="TimesNewRomanPSMT"/>
          <w:i/>
          <w:szCs w:val="24"/>
          <w:lang w:val="en-US"/>
        </w:rPr>
        <w:t>misused</w:t>
      </w:r>
      <w:r w:rsidRPr="00107CF6">
        <w:rPr>
          <w:rFonts w:cs="TimesNewRomanPSMT"/>
          <w:i/>
          <w:szCs w:val="24"/>
          <w:lang w:val="en-US"/>
        </w:rPr>
        <w:t xml:space="preserve">. </w:t>
      </w:r>
    </w:p>
    <w:p w:rsidR="00461949" w:rsidRPr="00107CF6" w:rsidRDefault="00461949" w:rsidP="009F32A0">
      <w:pPr>
        <w:ind w:firstLine="360"/>
        <w:rPr>
          <w:rFonts w:cs="TimesNewRomanPSMT"/>
          <w:i/>
          <w:szCs w:val="24"/>
          <w:lang w:val="en-US"/>
        </w:rPr>
      </w:pPr>
      <w:r w:rsidRPr="00107CF6">
        <w:rPr>
          <w:rFonts w:cs="TimesNewRomanPSMT"/>
          <w:i/>
          <w:szCs w:val="24"/>
          <w:lang w:val="en-US"/>
        </w:rPr>
        <w:t xml:space="preserve">Permit </w:t>
      </w:r>
      <w:r w:rsidR="00991E3A" w:rsidRPr="00107CF6">
        <w:rPr>
          <w:rFonts w:cs="TimesNewRomanPSMT"/>
          <w:i/>
          <w:szCs w:val="24"/>
          <w:lang w:val="en-US"/>
        </w:rPr>
        <w:t>may</w:t>
      </w:r>
      <w:r w:rsidRPr="00107CF6">
        <w:rPr>
          <w:rFonts w:cs="TimesNewRomanPSMT"/>
          <w:i/>
          <w:szCs w:val="24"/>
          <w:lang w:val="en-US"/>
        </w:rPr>
        <w:t xml:space="preserve"> be granted </w:t>
      </w:r>
      <w:r w:rsidR="00991E3A" w:rsidRPr="00107CF6">
        <w:rPr>
          <w:rFonts w:cs="TimesNewRomanPSMT"/>
          <w:i/>
          <w:szCs w:val="24"/>
          <w:lang w:val="en-US"/>
        </w:rPr>
        <w:t xml:space="preserve">both to </w:t>
      </w:r>
      <w:r w:rsidR="0082450F">
        <w:rPr>
          <w:rFonts w:cs="TimesNewRomanPSMT"/>
          <w:i/>
          <w:szCs w:val="24"/>
          <w:lang w:val="en-US"/>
        </w:rPr>
        <w:t xml:space="preserve">undertakings </w:t>
      </w:r>
      <w:r w:rsidR="00991E3A" w:rsidRPr="00107CF6">
        <w:rPr>
          <w:rFonts w:cs="TimesNewRomanPSMT"/>
          <w:i/>
          <w:szCs w:val="24"/>
          <w:lang w:val="en-US"/>
        </w:rPr>
        <w:t>and private individuals. A</w:t>
      </w:r>
      <w:r w:rsidR="009F32A0" w:rsidRPr="00107CF6">
        <w:rPr>
          <w:rFonts w:cs="TimesNewRomanPSMT"/>
          <w:i/>
          <w:szCs w:val="24"/>
          <w:lang w:val="en-US"/>
        </w:rPr>
        <w:t xml:space="preserve"> permit may </w:t>
      </w:r>
      <w:r w:rsidR="00991E3A" w:rsidRPr="00107CF6">
        <w:rPr>
          <w:rFonts w:cs="TimesNewRomanPSMT"/>
          <w:i/>
          <w:szCs w:val="24"/>
          <w:lang w:val="en-US"/>
        </w:rPr>
        <w:t>encompass several laser pointers and may be of limited duration</w:t>
      </w:r>
      <w:r w:rsidR="009F32A0" w:rsidRPr="00107CF6">
        <w:rPr>
          <w:rFonts w:cs="TimesNewRomanPSMT"/>
          <w:i/>
          <w:szCs w:val="24"/>
          <w:lang w:val="en-US"/>
        </w:rPr>
        <w:t>.</w:t>
      </w:r>
    </w:p>
    <w:p w:rsidR="007A008E" w:rsidRDefault="007A008E" w:rsidP="007A008E">
      <w:pPr>
        <w:ind w:firstLine="708"/>
        <w:rPr>
          <w:rFonts w:cs="TimesNewRomanPSMT"/>
          <w:i/>
          <w:szCs w:val="24"/>
          <w:lang w:val="en-US"/>
        </w:rPr>
      </w:pPr>
      <w:r w:rsidRPr="00534E04">
        <w:rPr>
          <w:i/>
          <w:iCs/>
          <w:lang w:val="en-GB" w:eastAsia="nb-NO"/>
        </w:rPr>
        <w:t xml:space="preserve">For applications for a </w:t>
      </w:r>
      <w:r>
        <w:rPr>
          <w:i/>
          <w:iCs/>
          <w:lang w:val="en-GB" w:eastAsia="nb-NO"/>
        </w:rPr>
        <w:t>permit</w:t>
      </w:r>
      <w:r w:rsidRPr="00534E04">
        <w:rPr>
          <w:i/>
          <w:iCs/>
          <w:lang w:val="en-GB" w:eastAsia="nb-NO"/>
        </w:rPr>
        <w:t xml:space="preserve"> under this </w:t>
      </w:r>
      <w:r>
        <w:rPr>
          <w:i/>
          <w:iCs/>
          <w:lang w:val="en-GB" w:eastAsia="nb-NO"/>
        </w:rPr>
        <w:t>section</w:t>
      </w:r>
      <w:r w:rsidRPr="00534E04">
        <w:rPr>
          <w:i/>
          <w:iCs/>
          <w:lang w:val="en-GB" w:eastAsia="nb-NO"/>
        </w:rPr>
        <w:t xml:space="preserve"> which fall under the Services Act, the procedural </w:t>
      </w:r>
      <w:r>
        <w:rPr>
          <w:i/>
          <w:iCs/>
          <w:lang w:val="en-GB" w:eastAsia="nb-NO"/>
        </w:rPr>
        <w:t xml:space="preserve">time limit </w:t>
      </w:r>
      <w:r w:rsidRPr="00534E04">
        <w:rPr>
          <w:i/>
          <w:iCs/>
          <w:lang w:val="en-GB" w:eastAsia="nb-NO"/>
        </w:rPr>
        <w:t xml:space="preserve">as specified in section 11, first paragraph, first sentence of the Services Act, is </w:t>
      </w:r>
      <w:r>
        <w:rPr>
          <w:i/>
          <w:iCs/>
          <w:lang w:val="en-GB" w:eastAsia="nb-NO"/>
        </w:rPr>
        <w:t>thirty days</w:t>
      </w:r>
      <w:r w:rsidRPr="00534E04">
        <w:rPr>
          <w:i/>
          <w:iCs/>
          <w:lang w:val="en-GB" w:eastAsia="nb-NO"/>
        </w:rPr>
        <w:t>.</w:t>
      </w:r>
      <w:r w:rsidRPr="007A008E">
        <w:rPr>
          <w:i/>
          <w:iCs/>
          <w:lang w:val="en-GB" w:eastAsia="nb-NO"/>
        </w:rPr>
        <w:t xml:space="preserve"> </w:t>
      </w:r>
      <w:r w:rsidRPr="00534E04">
        <w:rPr>
          <w:i/>
          <w:iCs/>
          <w:lang w:val="en-GB" w:eastAsia="nb-NO"/>
        </w:rPr>
        <w:t xml:space="preserve">Section 11, second paragraph of the Services Act, which states </w:t>
      </w:r>
      <w:r w:rsidRPr="00534E04">
        <w:rPr>
          <w:i/>
          <w:iCs/>
          <w:lang w:val="en-GB" w:eastAsia="nb-NO"/>
        </w:rPr>
        <w:lastRenderedPageBreak/>
        <w:t>that a permit shall be regarded as granted on expiry of the procedural time limit, does not apply.</w:t>
      </w:r>
    </w:p>
    <w:p w:rsidR="0003078F" w:rsidRPr="00461949" w:rsidRDefault="0003078F" w:rsidP="0003078F">
      <w:pPr>
        <w:rPr>
          <w:rFonts w:cs="TimesNewRomanPSMT"/>
          <w:szCs w:val="24"/>
          <w:lang w:val="en-US"/>
        </w:rPr>
      </w:pPr>
    </w:p>
    <w:p w:rsidR="0003078F" w:rsidRPr="00461949" w:rsidRDefault="004F293D" w:rsidP="004F293D">
      <w:pPr>
        <w:jc w:val="center"/>
        <w:rPr>
          <w:b/>
          <w:lang w:val="en-US"/>
        </w:rPr>
      </w:pPr>
      <w:r w:rsidRPr="00461949">
        <w:rPr>
          <w:b/>
          <w:lang w:val="en-US"/>
        </w:rPr>
        <w:t>II</w:t>
      </w:r>
    </w:p>
    <w:p w:rsidR="004F293D" w:rsidRPr="00461949" w:rsidRDefault="004F293D" w:rsidP="004F293D">
      <w:pPr>
        <w:pStyle w:val="Listeavsnitt"/>
        <w:numPr>
          <w:ilvl w:val="0"/>
          <w:numId w:val="14"/>
        </w:numPr>
        <w:rPr>
          <w:lang w:val="en-US"/>
        </w:rPr>
      </w:pPr>
      <w:r w:rsidRPr="00461949">
        <w:rPr>
          <w:lang w:val="en-US"/>
        </w:rPr>
        <w:t>This Regulation shall enter into force on 1 Janua</w:t>
      </w:r>
      <w:r w:rsidR="00357B28">
        <w:rPr>
          <w:lang w:val="en-US"/>
        </w:rPr>
        <w:t>r</w:t>
      </w:r>
      <w:r w:rsidRPr="00461949">
        <w:rPr>
          <w:lang w:val="en-US"/>
        </w:rPr>
        <w:t>y 2015.</w:t>
      </w:r>
    </w:p>
    <w:p w:rsidR="004F293D" w:rsidRPr="00461949" w:rsidRDefault="004F293D" w:rsidP="004F293D">
      <w:pPr>
        <w:pStyle w:val="Listeavsnitt"/>
        <w:numPr>
          <w:ilvl w:val="0"/>
          <w:numId w:val="14"/>
        </w:numPr>
        <w:rPr>
          <w:lang w:val="en-US"/>
        </w:rPr>
      </w:pPr>
      <w:r w:rsidRPr="00461949">
        <w:rPr>
          <w:lang w:val="en-US"/>
        </w:rPr>
        <w:t>On the date of entry into force, anyone who has a permit to possess or use powerful laser pointers in public places according to earlier regulation</w:t>
      </w:r>
      <w:r w:rsidR="006B2631" w:rsidRPr="00461949">
        <w:rPr>
          <w:lang w:val="en-US"/>
        </w:rPr>
        <w:t>s</w:t>
      </w:r>
      <w:r w:rsidRPr="00461949">
        <w:rPr>
          <w:lang w:val="en-US"/>
        </w:rPr>
        <w:t xml:space="preserve"> and provisions</w:t>
      </w:r>
      <w:r w:rsidR="006B2631" w:rsidRPr="00461949">
        <w:rPr>
          <w:lang w:val="en-US"/>
        </w:rPr>
        <w:t xml:space="preserve">, </w:t>
      </w:r>
      <w:r w:rsidR="00E3379F">
        <w:rPr>
          <w:lang w:val="en-US"/>
        </w:rPr>
        <w:t>may, nothwithstanding S</w:t>
      </w:r>
      <w:r w:rsidR="006B2631" w:rsidRPr="00461949">
        <w:rPr>
          <w:lang w:val="en-US"/>
        </w:rPr>
        <w:t xml:space="preserve">ection 8, third paragraph, continue to possess or use laser pointers in accordance with the permit for as long as it is valid. </w:t>
      </w:r>
    </w:p>
    <w:p w:rsidR="006B2631" w:rsidRDefault="006B2631" w:rsidP="004F293D">
      <w:pPr>
        <w:pStyle w:val="Listeavsnitt"/>
        <w:numPr>
          <w:ilvl w:val="0"/>
          <w:numId w:val="14"/>
        </w:numPr>
        <w:rPr>
          <w:lang w:val="en-US"/>
        </w:rPr>
      </w:pPr>
      <w:r w:rsidRPr="00461949">
        <w:rPr>
          <w:lang w:val="en-US"/>
        </w:rPr>
        <w:t xml:space="preserve">On the date of entry into force, a person who has a powerful laser pointer without </w:t>
      </w:r>
      <w:r w:rsidR="00E3379F">
        <w:rPr>
          <w:lang w:val="en-US"/>
        </w:rPr>
        <w:t>a permit, may, notwithstanding S</w:t>
      </w:r>
      <w:r w:rsidRPr="00461949">
        <w:rPr>
          <w:lang w:val="en-US"/>
        </w:rPr>
        <w:t xml:space="preserve">ection 8, third paragraph, continue to possess the laser pointer until </w:t>
      </w:r>
      <w:r w:rsidR="00357B28">
        <w:rPr>
          <w:lang w:val="en-US"/>
        </w:rPr>
        <w:t xml:space="preserve">the </w:t>
      </w:r>
      <w:r w:rsidRPr="00461949">
        <w:rPr>
          <w:lang w:val="en-US"/>
        </w:rPr>
        <w:t xml:space="preserve">application for a permit has been processed. </w:t>
      </w:r>
      <w:r w:rsidR="00D71912" w:rsidRPr="00461949">
        <w:rPr>
          <w:lang w:val="en-US"/>
        </w:rPr>
        <w:t>In cases without application or where the application is met by a refusal</w:t>
      </w:r>
      <w:r w:rsidR="007E0A83" w:rsidRPr="00461949">
        <w:rPr>
          <w:lang w:val="en-US"/>
        </w:rPr>
        <w:t xml:space="preserve">, the laser pointer shall be handed in to the police by 1 April 2015. </w:t>
      </w:r>
    </w:p>
    <w:p w:rsidR="00BA7DCB" w:rsidRDefault="00BA7DCB" w:rsidP="00BA7DCB">
      <w:pPr>
        <w:rPr>
          <w:lang w:val="en-US"/>
        </w:rPr>
      </w:pPr>
    </w:p>
    <w:p w:rsidR="00BA7DCB" w:rsidRDefault="00BA7DCB" w:rsidP="00BA7DCB">
      <w:pPr>
        <w:rPr>
          <w:lang w:val="en-US"/>
        </w:rPr>
      </w:pPr>
    </w:p>
    <w:p w:rsidR="00BA7DCB" w:rsidRDefault="00357B28" w:rsidP="00BA7DCB">
      <w:pPr>
        <w:rPr>
          <w:b/>
          <w:bCs/>
        </w:rPr>
      </w:pPr>
      <w:r>
        <w:rPr>
          <w:b/>
          <w:bCs/>
          <w:lang w:val="en-US"/>
        </w:rPr>
        <w:t>Draft</w:t>
      </w:r>
      <w:r w:rsidR="00BA7DCB">
        <w:rPr>
          <w:b/>
          <w:bCs/>
          <w:lang w:val="en-US"/>
        </w:rPr>
        <w:t xml:space="preserve"> amendment</w:t>
      </w:r>
      <w:r>
        <w:rPr>
          <w:b/>
          <w:bCs/>
          <w:lang w:val="en-US"/>
        </w:rPr>
        <w:t>s to</w:t>
      </w:r>
      <w:r w:rsidR="00BA7DCB" w:rsidRPr="00461949">
        <w:rPr>
          <w:b/>
          <w:bCs/>
          <w:lang w:val="en-US"/>
        </w:rPr>
        <w:t xml:space="preserve"> the</w:t>
      </w:r>
      <w:r w:rsidR="00BA7DCB">
        <w:rPr>
          <w:b/>
          <w:bCs/>
          <w:lang w:val="en-US"/>
        </w:rPr>
        <w:t xml:space="preserve"> </w:t>
      </w:r>
      <w:r w:rsidR="00BA7DCB" w:rsidRPr="00BA7DCB">
        <w:rPr>
          <w:b/>
          <w:bCs/>
        </w:rPr>
        <w:t>Act on Radiation Protection and Use of Radiation (No.</w:t>
      </w:r>
      <w:r w:rsidR="00BA7DCB">
        <w:rPr>
          <w:b/>
          <w:bCs/>
        </w:rPr>
        <w:t xml:space="preserve"> </w:t>
      </w:r>
      <w:r w:rsidR="00BA7DCB" w:rsidRPr="00BA7DCB">
        <w:rPr>
          <w:b/>
          <w:bCs/>
        </w:rPr>
        <w:t>36 of 12 May 2000)</w:t>
      </w:r>
    </w:p>
    <w:p w:rsidR="00B07365" w:rsidRDefault="00B07365" w:rsidP="00BA7DCB">
      <w:pPr>
        <w:rPr>
          <w:lang w:val="en-US"/>
        </w:rPr>
      </w:pPr>
    </w:p>
    <w:p w:rsidR="00116CCE" w:rsidRDefault="00116CCE" w:rsidP="00116CCE">
      <w:pPr>
        <w:rPr>
          <w:lang w:val="en-US"/>
        </w:rPr>
      </w:pPr>
      <w:r w:rsidRPr="00461949">
        <w:rPr>
          <w:lang w:val="en-US"/>
        </w:rPr>
        <w:t>Pursuant t</w:t>
      </w:r>
      <w:r w:rsidRPr="00116CCE">
        <w:rPr>
          <w:lang w:val="en-US"/>
        </w:rPr>
        <w:t>o the</w:t>
      </w:r>
      <w:r w:rsidRPr="00116CCE">
        <w:rPr>
          <w:bCs/>
        </w:rPr>
        <w:t xml:space="preserve"> Act on Radiation Protection and Use of Radiation (No. 36 of 12 May 2000)</w:t>
      </w:r>
      <w:r w:rsidRPr="00116CCE">
        <w:rPr>
          <w:lang w:val="en-US"/>
        </w:rPr>
        <w:t xml:space="preserve"> </w:t>
      </w:r>
      <w:r w:rsidRPr="00461949">
        <w:rPr>
          <w:lang w:val="en-US"/>
        </w:rPr>
        <w:t>the Ministry of Healt and Care Services herby lays down</w:t>
      </w:r>
    </w:p>
    <w:p w:rsidR="00116CCE" w:rsidRDefault="00116CCE" w:rsidP="00116CCE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i/>
          <w:lang w:val="en-US"/>
        </w:rPr>
        <w:t>that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>one new section shall be insterted into the Act – Section 19a – and shall be worded as shown below.</w:t>
      </w:r>
    </w:p>
    <w:p w:rsidR="00116CCE" w:rsidRDefault="00116CCE" w:rsidP="00116CCE">
      <w:pPr>
        <w:rPr>
          <w:lang w:val="en-US"/>
        </w:rPr>
      </w:pPr>
    </w:p>
    <w:p w:rsidR="00116CCE" w:rsidRDefault="00116CCE" w:rsidP="00116CCE">
      <w:pPr>
        <w:rPr>
          <w:bCs/>
        </w:rPr>
      </w:pPr>
      <w:r w:rsidRPr="00116CCE">
        <w:rPr>
          <w:bCs/>
        </w:rPr>
        <w:t xml:space="preserve">New Section 19a shall </w:t>
      </w:r>
      <w:proofErr w:type="gramStart"/>
      <w:r w:rsidRPr="00116CCE">
        <w:rPr>
          <w:bCs/>
        </w:rPr>
        <w:t>be</w:t>
      </w:r>
      <w:proofErr w:type="gramEnd"/>
      <w:r w:rsidRPr="00116CCE">
        <w:rPr>
          <w:bCs/>
        </w:rPr>
        <w:t xml:space="preserve"> worded: </w:t>
      </w:r>
    </w:p>
    <w:p w:rsidR="00116CCE" w:rsidRDefault="00116CCE" w:rsidP="00116CCE">
      <w:pPr>
        <w:rPr>
          <w:bCs/>
        </w:rPr>
      </w:pPr>
    </w:p>
    <w:p w:rsidR="00E3379F" w:rsidRPr="006617C8" w:rsidRDefault="00E3379F" w:rsidP="00116CCE">
      <w:pPr>
        <w:rPr>
          <w:bCs/>
          <w:i/>
        </w:rPr>
      </w:pPr>
      <w:r>
        <w:rPr>
          <w:bCs/>
        </w:rPr>
        <w:tab/>
      </w:r>
      <w:r w:rsidRPr="006617C8">
        <w:rPr>
          <w:bCs/>
          <w:i/>
        </w:rPr>
        <w:t xml:space="preserve">Laser pointers imported contrary to Section 6 with Regulations may </w:t>
      </w:r>
      <w:proofErr w:type="gramStart"/>
      <w:r w:rsidRPr="006617C8">
        <w:rPr>
          <w:bCs/>
          <w:i/>
        </w:rPr>
        <w:t>be</w:t>
      </w:r>
      <w:proofErr w:type="gramEnd"/>
      <w:r w:rsidRPr="006617C8">
        <w:rPr>
          <w:bCs/>
          <w:i/>
        </w:rPr>
        <w:t xml:space="preserve"> retained, confiscated and destructed. </w:t>
      </w:r>
    </w:p>
    <w:p w:rsidR="00E3379F" w:rsidRPr="006617C8" w:rsidRDefault="00E3379F" w:rsidP="00CD31EB">
      <w:pPr>
        <w:ind w:firstLine="708"/>
        <w:rPr>
          <w:bCs/>
          <w:i/>
        </w:rPr>
      </w:pPr>
      <w:r w:rsidRPr="006617C8">
        <w:rPr>
          <w:bCs/>
          <w:i/>
        </w:rPr>
        <w:t xml:space="preserve">In cases of retention the recipient shall </w:t>
      </w:r>
      <w:proofErr w:type="gramStart"/>
      <w:r w:rsidRPr="006617C8">
        <w:rPr>
          <w:bCs/>
          <w:i/>
        </w:rPr>
        <w:t>be</w:t>
      </w:r>
      <w:proofErr w:type="gramEnd"/>
      <w:r w:rsidRPr="006617C8">
        <w:rPr>
          <w:bCs/>
          <w:i/>
        </w:rPr>
        <w:t xml:space="preserve"> notified that the laser pointer will be considered confiscated or destructed. The re</w:t>
      </w:r>
      <w:r w:rsidR="00CD31EB" w:rsidRPr="006617C8">
        <w:rPr>
          <w:bCs/>
          <w:i/>
        </w:rPr>
        <w:t xml:space="preserve">cipient shall </w:t>
      </w:r>
      <w:proofErr w:type="gramStart"/>
      <w:r w:rsidR="00CD31EB" w:rsidRPr="006617C8">
        <w:rPr>
          <w:bCs/>
          <w:i/>
        </w:rPr>
        <w:t>be</w:t>
      </w:r>
      <w:proofErr w:type="gramEnd"/>
      <w:r w:rsidR="00CD31EB" w:rsidRPr="006617C8">
        <w:rPr>
          <w:bCs/>
          <w:i/>
        </w:rPr>
        <w:t xml:space="preserve"> given the opportunity to make a statement on the matter within a specified </w:t>
      </w:r>
      <w:r w:rsidR="00A771AC" w:rsidRPr="006617C8">
        <w:rPr>
          <w:bCs/>
          <w:i/>
        </w:rPr>
        <w:t>time limit</w:t>
      </w:r>
      <w:r w:rsidR="00CD31EB" w:rsidRPr="006617C8">
        <w:rPr>
          <w:bCs/>
          <w:i/>
        </w:rPr>
        <w:t xml:space="preserve">. </w:t>
      </w:r>
    </w:p>
    <w:p w:rsidR="00A771AC" w:rsidRPr="006617C8" w:rsidRDefault="00CD31EB" w:rsidP="00A771AC">
      <w:pPr>
        <w:ind w:firstLine="708"/>
        <w:rPr>
          <w:bCs/>
          <w:i/>
        </w:rPr>
      </w:pPr>
      <w:r w:rsidRPr="006617C8">
        <w:rPr>
          <w:bCs/>
          <w:i/>
        </w:rPr>
        <w:t>If the recipient do</w:t>
      </w:r>
      <w:r w:rsidR="00357B28">
        <w:rPr>
          <w:bCs/>
          <w:i/>
        </w:rPr>
        <w:t>es</w:t>
      </w:r>
      <w:r w:rsidRPr="006617C8">
        <w:rPr>
          <w:bCs/>
          <w:i/>
        </w:rPr>
        <w:t xml:space="preserve"> not make a statement within the specified </w:t>
      </w:r>
      <w:r w:rsidR="00A771AC" w:rsidRPr="006617C8">
        <w:rPr>
          <w:bCs/>
          <w:i/>
        </w:rPr>
        <w:t>time limit</w:t>
      </w:r>
      <w:r w:rsidRPr="006617C8">
        <w:rPr>
          <w:bCs/>
          <w:i/>
        </w:rPr>
        <w:t xml:space="preserve">, the laser pointer may </w:t>
      </w:r>
      <w:proofErr w:type="gramStart"/>
      <w:r w:rsidRPr="006617C8">
        <w:rPr>
          <w:bCs/>
          <w:i/>
        </w:rPr>
        <w:t>be</w:t>
      </w:r>
      <w:proofErr w:type="gramEnd"/>
      <w:r w:rsidRPr="006617C8">
        <w:rPr>
          <w:bCs/>
          <w:i/>
        </w:rPr>
        <w:t xml:space="preserve"> confiscated or destructed. </w:t>
      </w:r>
      <w:r w:rsidR="0042566B">
        <w:rPr>
          <w:bCs/>
          <w:i/>
        </w:rPr>
        <w:t>The Public Administration Act</w:t>
      </w:r>
      <w:r w:rsidRPr="006617C8">
        <w:rPr>
          <w:bCs/>
          <w:i/>
        </w:rPr>
        <w:t xml:space="preserve"> Section 23, 24, 25 and 27 do</w:t>
      </w:r>
      <w:r w:rsidR="00357B28">
        <w:rPr>
          <w:bCs/>
          <w:i/>
        </w:rPr>
        <w:t>es</w:t>
      </w:r>
      <w:r w:rsidRPr="006617C8">
        <w:rPr>
          <w:bCs/>
          <w:i/>
        </w:rPr>
        <w:t xml:space="preserve"> not apply where the recipie</w:t>
      </w:r>
      <w:r w:rsidR="00A771AC" w:rsidRPr="006617C8">
        <w:rPr>
          <w:bCs/>
          <w:i/>
        </w:rPr>
        <w:t xml:space="preserve">nt has not responded within the time limit. </w:t>
      </w:r>
    </w:p>
    <w:p w:rsidR="00957391" w:rsidRPr="006617C8" w:rsidRDefault="00A771AC" w:rsidP="00957391">
      <w:pPr>
        <w:ind w:firstLine="708"/>
        <w:rPr>
          <w:bCs/>
          <w:i/>
        </w:rPr>
      </w:pPr>
      <w:r w:rsidRPr="006617C8">
        <w:rPr>
          <w:bCs/>
          <w:i/>
        </w:rPr>
        <w:t>The King may issue regulation</w:t>
      </w:r>
      <w:r w:rsidR="00357B28">
        <w:rPr>
          <w:bCs/>
          <w:i/>
        </w:rPr>
        <w:t>s</w:t>
      </w:r>
      <w:r w:rsidRPr="006617C8">
        <w:rPr>
          <w:bCs/>
          <w:i/>
        </w:rPr>
        <w:t xml:space="preserve"> </w:t>
      </w:r>
      <w:r w:rsidR="00357B28">
        <w:rPr>
          <w:bCs/>
          <w:i/>
        </w:rPr>
        <w:t xml:space="preserve">to </w:t>
      </w:r>
      <w:r w:rsidRPr="006617C8">
        <w:rPr>
          <w:bCs/>
          <w:i/>
        </w:rPr>
        <w:t xml:space="preserve">implement this provision, including </w:t>
      </w:r>
      <w:r w:rsidR="00957391" w:rsidRPr="006617C8">
        <w:rPr>
          <w:bCs/>
          <w:i/>
        </w:rPr>
        <w:t>determining time limits for response</w:t>
      </w:r>
      <w:r w:rsidR="00357B28">
        <w:rPr>
          <w:bCs/>
          <w:i/>
        </w:rPr>
        <w:t>s</w:t>
      </w:r>
      <w:r w:rsidR="00957391" w:rsidRPr="006617C8">
        <w:rPr>
          <w:bCs/>
          <w:i/>
        </w:rPr>
        <w:t xml:space="preserve"> </w:t>
      </w:r>
      <w:r w:rsidR="00357B28">
        <w:rPr>
          <w:bCs/>
          <w:i/>
        </w:rPr>
        <w:t>to</w:t>
      </w:r>
      <w:r w:rsidR="00357B28" w:rsidRPr="006617C8">
        <w:rPr>
          <w:bCs/>
          <w:i/>
        </w:rPr>
        <w:t xml:space="preserve"> </w:t>
      </w:r>
      <w:r w:rsidR="00957391" w:rsidRPr="006617C8">
        <w:rPr>
          <w:bCs/>
          <w:i/>
        </w:rPr>
        <w:t>notification</w:t>
      </w:r>
      <w:r w:rsidR="00357B28">
        <w:rPr>
          <w:bCs/>
          <w:i/>
        </w:rPr>
        <w:t>s</w:t>
      </w:r>
      <w:r w:rsidR="00957391" w:rsidRPr="006617C8">
        <w:rPr>
          <w:bCs/>
          <w:i/>
        </w:rPr>
        <w:t xml:space="preserve"> given in accordance with second paragraph. </w:t>
      </w:r>
    </w:p>
    <w:p w:rsidR="00CD31EB" w:rsidRPr="006617C8" w:rsidRDefault="00957391" w:rsidP="00957391">
      <w:pPr>
        <w:ind w:firstLine="708"/>
        <w:rPr>
          <w:bCs/>
          <w:i/>
        </w:rPr>
      </w:pPr>
      <w:r w:rsidRPr="006617C8">
        <w:rPr>
          <w:bCs/>
          <w:i/>
        </w:rPr>
        <w:t>The King may by regulation</w:t>
      </w:r>
      <w:r w:rsidR="00357B28">
        <w:rPr>
          <w:bCs/>
          <w:i/>
        </w:rPr>
        <w:t>s</w:t>
      </w:r>
      <w:r w:rsidRPr="006617C8">
        <w:rPr>
          <w:bCs/>
          <w:i/>
        </w:rPr>
        <w:t xml:space="preserve"> make exeptions from the right to submit claim concerning a decision made pursuant to this provison. </w:t>
      </w:r>
    </w:p>
    <w:p w:rsidR="00116CCE" w:rsidRPr="00BA7DCB" w:rsidRDefault="00116CCE" w:rsidP="00BA7DCB">
      <w:pPr>
        <w:rPr>
          <w:lang w:val="en-US"/>
        </w:rPr>
      </w:pPr>
    </w:p>
    <w:sectPr w:rsidR="00116CCE" w:rsidRPr="00BA7DCB" w:rsidSect="00C5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A51"/>
    <w:multiLevelType w:val="multilevel"/>
    <w:tmpl w:val="D1067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213F1710"/>
    <w:multiLevelType w:val="hybridMultilevel"/>
    <w:tmpl w:val="E4F6630E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28EE"/>
    <w:multiLevelType w:val="hybridMultilevel"/>
    <w:tmpl w:val="1E5E7FC6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0152B"/>
    <w:multiLevelType w:val="hybridMultilevel"/>
    <w:tmpl w:val="F65E12F8"/>
    <w:lvl w:ilvl="0" w:tplc="E850DE56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EC8"/>
    <w:multiLevelType w:val="hybridMultilevel"/>
    <w:tmpl w:val="073CD734"/>
    <w:lvl w:ilvl="0" w:tplc="A370846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D9"/>
    <w:multiLevelType w:val="hybridMultilevel"/>
    <w:tmpl w:val="6A34CD86"/>
    <w:lvl w:ilvl="0" w:tplc="1F1A7D10">
      <w:start w:val="1"/>
      <w:numFmt w:val="bullet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56DA2"/>
    <w:multiLevelType w:val="hybridMultilevel"/>
    <w:tmpl w:val="547208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31C2"/>
    <w:multiLevelType w:val="hybridMultilevel"/>
    <w:tmpl w:val="587CFD70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94B"/>
    <w:multiLevelType w:val="hybridMultilevel"/>
    <w:tmpl w:val="782EDAB6"/>
    <w:lvl w:ilvl="0" w:tplc="24F4048A">
      <w:start w:val="1"/>
      <w:numFmt w:val="bullet"/>
      <w:pStyle w:val="Listeavsnitt"/>
      <w:lvlText w:val="­"/>
      <w:lvlJc w:val="left"/>
      <w:pPr>
        <w:ind w:left="144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03EE"/>
    <w:multiLevelType w:val="hybridMultilevel"/>
    <w:tmpl w:val="A48649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55472"/>
    <w:multiLevelType w:val="hybridMultilevel"/>
    <w:tmpl w:val="C1705C7C"/>
    <w:lvl w:ilvl="0" w:tplc="9652533C">
      <w:start w:val="1"/>
      <w:numFmt w:val="bullet"/>
      <w:pStyle w:val="Ingenmellomrom"/>
      <w:lvlText w:val="­"/>
      <w:lvlJc w:val="left"/>
      <w:pPr>
        <w:ind w:left="720" w:hanging="36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36728"/>
    <w:multiLevelType w:val="hybridMultilevel"/>
    <w:tmpl w:val="2EB42C8C"/>
    <w:lvl w:ilvl="0" w:tplc="00E237D4">
      <w:start w:val="1"/>
      <w:numFmt w:val="bullet"/>
      <w:lvlText w:val="­"/>
      <w:lvlJc w:val="left"/>
      <w:pPr>
        <w:ind w:left="284" w:firstLine="0"/>
      </w:pPr>
      <w:rPr>
        <w:rFonts w:ascii="DepCentury Old Style" w:hAnsi="DepCentury Old Style" w:hint="default"/>
        <w:b w:val="0"/>
        <w:i w:val="0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568A5"/>
    <w:multiLevelType w:val="hybridMultilevel"/>
    <w:tmpl w:val="CF20ADE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startOverride w:val="2"/>
    </w:lvlOverride>
    <w:lvlOverride w:ilvl="1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grammar="clean"/>
  <w:defaultTabStop w:val="708"/>
  <w:hyphenationZone w:val="425"/>
  <w:characterSpacingControl w:val="doNotCompress"/>
  <w:compat/>
  <w:rsids>
    <w:rsidRoot w:val="00C204EC"/>
    <w:rsid w:val="0003078F"/>
    <w:rsid w:val="00040C45"/>
    <w:rsid w:val="00107CF6"/>
    <w:rsid w:val="00116CCE"/>
    <w:rsid w:val="001400DD"/>
    <w:rsid w:val="00150174"/>
    <w:rsid w:val="00163A05"/>
    <w:rsid w:val="00192093"/>
    <w:rsid w:val="001F3AB2"/>
    <w:rsid w:val="002F4A71"/>
    <w:rsid w:val="0032382A"/>
    <w:rsid w:val="00325BB1"/>
    <w:rsid w:val="00337EBF"/>
    <w:rsid w:val="00357B28"/>
    <w:rsid w:val="003A33FE"/>
    <w:rsid w:val="003C0EFC"/>
    <w:rsid w:val="004049D6"/>
    <w:rsid w:val="0042566B"/>
    <w:rsid w:val="004319A1"/>
    <w:rsid w:val="00461949"/>
    <w:rsid w:val="004A765B"/>
    <w:rsid w:val="004B286C"/>
    <w:rsid w:val="004E088E"/>
    <w:rsid w:val="004F293D"/>
    <w:rsid w:val="00537F03"/>
    <w:rsid w:val="005A774F"/>
    <w:rsid w:val="005B1FD4"/>
    <w:rsid w:val="005C61E3"/>
    <w:rsid w:val="006617C8"/>
    <w:rsid w:val="00682C59"/>
    <w:rsid w:val="006A5948"/>
    <w:rsid w:val="006B2631"/>
    <w:rsid w:val="006D1AC3"/>
    <w:rsid w:val="006D2252"/>
    <w:rsid w:val="00705CEE"/>
    <w:rsid w:val="007A008E"/>
    <w:rsid w:val="007E0A83"/>
    <w:rsid w:val="007F313F"/>
    <w:rsid w:val="0082450F"/>
    <w:rsid w:val="008A3A22"/>
    <w:rsid w:val="008B4C6A"/>
    <w:rsid w:val="00913832"/>
    <w:rsid w:val="00957391"/>
    <w:rsid w:val="00977C5A"/>
    <w:rsid w:val="00991E3A"/>
    <w:rsid w:val="009E4A0C"/>
    <w:rsid w:val="009F32A0"/>
    <w:rsid w:val="00A547F6"/>
    <w:rsid w:val="00A72472"/>
    <w:rsid w:val="00A771AC"/>
    <w:rsid w:val="00A830A6"/>
    <w:rsid w:val="00A87074"/>
    <w:rsid w:val="00A95DB3"/>
    <w:rsid w:val="00AB31A5"/>
    <w:rsid w:val="00AF4AA9"/>
    <w:rsid w:val="00B07365"/>
    <w:rsid w:val="00B35599"/>
    <w:rsid w:val="00B51DA4"/>
    <w:rsid w:val="00BA7DCB"/>
    <w:rsid w:val="00BF49D5"/>
    <w:rsid w:val="00C204EC"/>
    <w:rsid w:val="00C30E25"/>
    <w:rsid w:val="00C35DF8"/>
    <w:rsid w:val="00C5599F"/>
    <w:rsid w:val="00C81F6A"/>
    <w:rsid w:val="00C94988"/>
    <w:rsid w:val="00CD31EB"/>
    <w:rsid w:val="00CF6712"/>
    <w:rsid w:val="00D178D8"/>
    <w:rsid w:val="00D477ED"/>
    <w:rsid w:val="00D576C0"/>
    <w:rsid w:val="00D71912"/>
    <w:rsid w:val="00D72945"/>
    <w:rsid w:val="00DC15A4"/>
    <w:rsid w:val="00DF6A7D"/>
    <w:rsid w:val="00E26521"/>
    <w:rsid w:val="00E3379F"/>
    <w:rsid w:val="00EA7D68"/>
    <w:rsid w:val="00EB1761"/>
    <w:rsid w:val="00EE626D"/>
    <w:rsid w:val="00F03598"/>
    <w:rsid w:val="00F66878"/>
    <w:rsid w:val="00FA50EE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32"/>
    <w:pPr>
      <w:spacing w:after="0" w:line="240" w:lineRule="auto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88E"/>
    <w:pPr>
      <w:keepNext/>
      <w:keepLines/>
      <w:numPr>
        <w:numId w:val="2"/>
      </w:numPr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A3A22"/>
    <w:pPr>
      <w:keepNext/>
      <w:keepLines/>
      <w:numPr>
        <w:ilvl w:val="1"/>
        <w:numId w:val="2"/>
      </w:numPr>
      <w:spacing w:before="240" w:after="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88E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13832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3832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4A0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4A0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4A0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4A0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088E"/>
    <w:rPr>
      <w:rFonts w:ascii="DepCentury Old Style" w:eastAsiaTheme="majorEastAsia" w:hAnsi="DepCentury Old Style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3A22"/>
    <w:rPr>
      <w:rFonts w:ascii="DepCentury Old Style" w:eastAsiaTheme="majorEastAsia" w:hAnsi="DepCentury Old Style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088E"/>
    <w:rPr>
      <w:rFonts w:ascii="DepCentury Old Style" w:eastAsiaTheme="majorEastAsia" w:hAnsi="DepCentury Old Style" w:cstheme="majorBidi"/>
      <w:bCs/>
      <w:i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3832"/>
    <w:rPr>
      <w:rFonts w:ascii="DepCentury Old Style" w:eastAsiaTheme="majorEastAsia" w:hAnsi="DepCentury Old Style" w:cstheme="majorBidi"/>
      <w:b/>
      <w:bCs/>
      <w:i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913832"/>
    <w:rPr>
      <w:rFonts w:cs="Times New Roman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3832"/>
    <w:rPr>
      <w:rFonts w:ascii="DepCentury Old Style" w:eastAsiaTheme="majorEastAsia" w:hAnsi="DepCentury Old Style" w:cstheme="majorBidi"/>
      <w:sz w:val="24"/>
    </w:rPr>
  </w:style>
  <w:style w:type="paragraph" w:styleId="Ingenmellomrom">
    <w:name w:val="No Spacing"/>
    <w:aliases w:val="Strekliste"/>
    <w:basedOn w:val="Normal"/>
    <w:next w:val="Normal"/>
    <w:uiPriority w:val="1"/>
    <w:qFormat/>
    <w:rsid w:val="008A3A22"/>
    <w:pPr>
      <w:numPr>
        <w:numId w:val="13"/>
      </w:numPr>
      <w:ind w:left="568" w:hanging="284"/>
    </w:pPr>
  </w:style>
  <w:style w:type="paragraph" w:styleId="Listeavsnitt">
    <w:name w:val="List Paragraph"/>
    <w:basedOn w:val="Normal"/>
    <w:uiPriority w:val="34"/>
    <w:qFormat/>
    <w:rsid w:val="008A3A22"/>
    <w:pPr>
      <w:numPr>
        <w:numId w:val="12"/>
      </w:numPr>
      <w:ind w:left="568" w:hanging="284"/>
      <w:contextualSpacing/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4A0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4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A3A2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8A3A2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A3A22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8A3A22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A3A2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A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22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01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01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0174"/>
    <w:rPr>
      <w:rFonts w:ascii="DepCentury Old Style" w:hAnsi="DepCentury Old Style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01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0174"/>
    <w:rPr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CF671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CF6712"/>
    <w:rPr>
      <w:rFonts w:ascii="DepCentury Old Style" w:hAnsi="DepCentury Old Style"/>
      <w:sz w:val="24"/>
    </w:rPr>
  </w:style>
  <w:style w:type="paragraph" w:styleId="Vanliginnrykk">
    <w:name w:val="Normal Indent"/>
    <w:basedOn w:val="Normal"/>
    <w:uiPriority w:val="99"/>
    <w:unhideWhenUsed/>
    <w:rsid w:val="00CF6712"/>
    <w:pPr>
      <w:ind w:left="708"/>
    </w:p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F671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F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FFFC-9E6F-4EA7-9593-150B083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Mørkved Larsen</dc:creator>
  <cp:lastModifiedBy>Benedicte Mørkved Larsen</cp:lastModifiedBy>
  <cp:revision>2</cp:revision>
  <dcterms:created xsi:type="dcterms:W3CDTF">2014-07-07T12:58:00Z</dcterms:created>
  <dcterms:modified xsi:type="dcterms:W3CDTF">2014-07-07T12:58:00Z</dcterms:modified>
</cp:coreProperties>
</file>