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F0E" w:rsidRDefault="00D11F0E">
      <w:pPr>
        <w:pStyle w:val="Overskrift2"/>
        <w:spacing w:before="0" w:after="0"/>
        <w:jc w:val="center"/>
        <w:rPr>
          <w:sz w:val="22"/>
        </w:rPr>
      </w:pPr>
    </w:p>
    <w:p w:rsidR="00D11F0E" w:rsidRDefault="00D11F0E">
      <w:pPr>
        <w:rPr>
          <w:sz w:val="22"/>
        </w:rPr>
      </w:pPr>
      <w:bookmarkStart w:id="0" w:name="KAPITTEL_2"/>
      <w:bookmarkStart w:id="1" w:name="documentBody"/>
    </w:p>
    <w:p w:rsidR="00D11F0E" w:rsidRDefault="00D11F0E">
      <w:pPr>
        <w:rPr>
          <w:sz w:val="22"/>
        </w:rPr>
      </w:pPr>
    </w:p>
    <w:p w:rsidR="00D11F0E" w:rsidRDefault="00D11F0E">
      <w:pPr>
        <w:rPr>
          <w:sz w:val="22"/>
        </w:rPr>
      </w:pPr>
    </w:p>
    <w:p w:rsidR="00D11F0E" w:rsidRDefault="00211643">
      <w:pPr>
        <w:pStyle w:val="Overskrift2"/>
        <w:spacing w:before="0" w:after="0"/>
      </w:pPr>
      <w:bookmarkStart w:id="2" w:name="_Toc256000007"/>
      <w:bookmarkStart w:id="3" w:name="_Toc256000003"/>
      <w:r>
        <w:t>Kapittel 2. Krav til kassasystem og systemskildring</w:t>
      </w:r>
      <w:bookmarkStart w:id="4" w:name="PARAGRAF_2-7"/>
      <w:bookmarkEnd w:id="2"/>
      <w:bookmarkEnd w:id="3"/>
    </w:p>
    <w:p w:rsidR="00D11F0E" w:rsidRDefault="00D11F0E">
      <w:pPr>
        <w:rPr>
          <w:sz w:val="22"/>
        </w:rPr>
      </w:pPr>
    </w:p>
    <w:p w:rsidR="00D11F0E" w:rsidRDefault="00211643">
      <w:pPr>
        <w:rPr>
          <w:b/>
          <w:sz w:val="22"/>
        </w:rPr>
      </w:pPr>
      <w:bookmarkStart w:id="5" w:name="§2-7"/>
      <w:bookmarkEnd w:id="5"/>
      <w:r>
        <w:rPr>
          <w:b/>
          <w:sz w:val="22"/>
        </w:rPr>
        <w:t>§ 2-7.</w:t>
      </w:r>
      <w:r>
        <w:rPr>
          <w:sz w:val="22"/>
        </w:rPr>
        <w:t xml:space="preserve"> </w:t>
      </w:r>
      <w:r>
        <w:rPr>
          <w:b/>
          <w:i/>
          <w:sz w:val="22"/>
        </w:rPr>
        <w:t>Elektronisk journal</w:t>
      </w:r>
    </w:p>
    <w:p w:rsidR="00D11F0E" w:rsidRDefault="00211643">
      <w:pPr>
        <w:spacing w:before="120"/>
        <w:rPr>
          <w:sz w:val="22"/>
        </w:rPr>
      </w:pPr>
      <w:r>
        <w:rPr>
          <w:sz w:val="22"/>
        </w:rPr>
        <w:t xml:space="preserve">(1) All kontinuerleg bruk skal lagrast fortløpande i elektronisk journal. Dette omfattar også opplysningar på kvitteringar som nemnt i § 1-2 bokstavane d til h. Elektronisk journal skal vere sikra mot endring og sletting. Elektronisk journal kan overførast til eit anna elektronisk medium i eit filformat som ikkje enkelt lar seg redigere. Slik overføring skal ikkje kunne gjerast før kassasystemet har produsert ein Z-rapport. </w:t>
      </w:r>
      <w:r w:rsidRPr="00211643">
        <w:rPr>
          <w:sz w:val="22"/>
          <w:highlight w:val="yellow"/>
        </w:rPr>
        <w:t>Systemet skal kunne produsere ei fil direkte frå elektronisk journal eller anna elektronisk medium i ei standardisert form fastsett av Skattedirektoratet.</w:t>
      </w:r>
    </w:p>
    <w:p w:rsidR="00D11F0E" w:rsidRDefault="00211643">
      <w:pPr>
        <w:spacing w:before="120"/>
        <w:rPr>
          <w:sz w:val="22"/>
        </w:rPr>
      </w:pPr>
      <w:r>
        <w:rPr>
          <w:sz w:val="22"/>
        </w:rPr>
        <w:t>(2) Tidspunkta for opning av integrert kassaskuff skal gå fram av elektronisk journal.</w:t>
      </w:r>
    </w:p>
    <w:p w:rsidR="00D11F0E" w:rsidRDefault="00211643">
      <w:pPr>
        <w:spacing w:before="120"/>
        <w:rPr>
          <w:sz w:val="22"/>
        </w:rPr>
      </w:pPr>
      <w:r>
        <w:rPr>
          <w:sz w:val="22"/>
        </w:rPr>
        <w:t>(3) Dersom kassasystemet har funksjonar for fastsetjing av prisar for varer og tenester, skal det vere mogeleg å ta fram opplysningar om aktuelle prisar frå kassasystemet. Det skal i slike tilfelle gå fram av den elektroniske journalen når prisane har blitt endra. Det same gjeld ved andre endringar i dei faste opplysningane.</w:t>
      </w:r>
    </w:p>
    <w:p w:rsidR="00D11F0E" w:rsidRDefault="00211643">
      <w:pPr>
        <w:spacing w:before="120"/>
        <w:rPr>
          <w:sz w:val="22"/>
        </w:rPr>
      </w:pPr>
      <w:r>
        <w:rPr>
          <w:sz w:val="22"/>
        </w:rPr>
        <w:t>(4) Dersom kassasystemet har funksjonar for å undersøke pris, skal slike prisundersøkingar registrerast i elektronisk journal.</w:t>
      </w:r>
    </w:p>
    <w:p w:rsidR="00D11F0E" w:rsidRDefault="00211643">
      <w:pPr>
        <w:spacing w:before="120"/>
        <w:rPr>
          <w:sz w:val="22"/>
        </w:rPr>
      </w:pPr>
      <w:r>
        <w:rPr>
          <w:sz w:val="22"/>
        </w:rPr>
        <w:t>(5) Dersom kassasystemet har funksjonar for identifikasjon av den enkelte operatør ved bruk av kort eller liknande, skal elektronisk journal innehalde opplysningar om vedkomande sitt namn eller tilsettnummer i samband med salstransaksjonane og andre registreringar.</w:t>
      </w:r>
    </w:p>
    <w:p w:rsidR="00D11F0E" w:rsidRDefault="00211643" w:rsidP="00AC250C">
      <w:pPr>
        <w:spacing w:before="120"/>
        <w:rPr>
          <w:sz w:val="22"/>
        </w:rPr>
      </w:pPr>
      <w:r>
        <w:rPr>
          <w:sz w:val="22"/>
        </w:rPr>
        <w:t>(6) All kontinuerleg bruk må kunne identifiserast og skiljast ut med eit startpunkt.</w:t>
      </w:r>
      <w:bookmarkStart w:id="6" w:name="_GoBack"/>
      <w:bookmarkEnd w:id="4"/>
      <w:bookmarkEnd w:id="0"/>
      <w:bookmarkEnd w:id="1"/>
      <w:bookmarkEnd w:id="6"/>
    </w:p>
    <w:sectPr w:rsidR="00D11F0E">
      <w:footerReference w:type="default" r:id="rId6"/>
      <w:type w:val="continuous"/>
      <w:pgSz w:w="11906" w:h="16838"/>
      <w:pgMar w:top="1020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4D" w:rsidRDefault="00211643">
      <w:r>
        <w:separator/>
      </w:r>
    </w:p>
  </w:endnote>
  <w:endnote w:type="continuationSeparator" w:id="0">
    <w:p w:rsidR="00765A4D" w:rsidRDefault="0021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F0E" w:rsidRDefault="00211643">
    <w:pPr>
      <w:jc w:val="center"/>
      <w:rPr>
        <w:sz w:val="22"/>
      </w:rPr>
    </w:pPr>
    <w:r>
      <w:rPr>
        <w:sz w:val="22"/>
      </w:rPr>
      <w:t xml:space="preserve"> </w:t>
    </w:r>
  </w:p>
  <w:p w:rsidR="00D11F0E" w:rsidRDefault="00211643">
    <w:pPr>
      <w:jc w:val="center"/>
      <w:rPr>
        <w:sz w:val="22"/>
      </w:rPr>
    </w:pPr>
    <w:r>
      <w:rPr>
        <w:sz w:val="22"/>
      </w:rPr>
      <w:t>Forskrift om krav til kassasystem (kassasystemforskrifta)</w:t>
    </w:r>
  </w:p>
  <w:p w:rsidR="00D11F0E" w:rsidRDefault="00211643">
    <w:pPr>
      <w:jc w:val="center"/>
      <w:rPr>
        <w:sz w:val="22"/>
      </w:rPr>
    </w:pPr>
    <w:r>
      <w:rPr>
        <w:sz w:val="22"/>
      </w:rPr>
      <w:t xml:space="preserve">Side </w:t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AC250C">
      <w:rPr>
        <w:noProof/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4D" w:rsidRDefault="00211643">
      <w:r>
        <w:separator/>
      </w:r>
    </w:p>
  </w:footnote>
  <w:footnote w:type="continuationSeparator" w:id="0">
    <w:p w:rsidR="00765A4D" w:rsidRDefault="00211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11643"/>
    <w:rsid w:val="00765A4D"/>
    <w:rsid w:val="00A77B3E"/>
    <w:rsid w:val="00AC250C"/>
    <w:rsid w:val="00CA2A55"/>
    <w:rsid w:val="00D1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726CE"/>
  <w15:docId w15:val="{B9B149D7-8B65-4558-A9C5-FB1DA488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EF7B96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EF7B96"/>
    <w:pPr>
      <w:spacing w:before="240" w:after="60"/>
      <w:outlineLvl w:val="7"/>
    </w:pPr>
    <w:rPr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rsid w:val="00805BCE"/>
    <w:rPr>
      <w:b/>
      <w:sz w:val="22"/>
    </w:rPr>
  </w:style>
  <w:style w:type="paragraph" w:styleId="INNH2">
    <w:name w:val="toc 2"/>
    <w:basedOn w:val="Normal"/>
    <w:next w:val="Normal"/>
    <w:autoRedefine/>
    <w:rsid w:val="00805BCE"/>
    <w:pPr>
      <w:ind w:left="240"/>
    </w:pPr>
    <w:rPr>
      <w:b/>
      <w:sz w:val="22"/>
    </w:rPr>
  </w:style>
  <w:style w:type="paragraph" w:styleId="INNH3">
    <w:name w:val="toc 3"/>
    <w:basedOn w:val="Normal"/>
    <w:next w:val="Normal"/>
    <w:autoRedefine/>
    <w:rsid w:val="00805BCE"/>
    <w:pPr>
      <w:ind w:left="480"/>
    </w:pPr>
    <w:rPr>
      <w:b/>
      <w:sz w:val="22"/>
    </w:rPr>
  </w:style>
  <w:style w:type="paragraph" w:styleId="INNH4">
    <w:name w:val="toc 4"/>
    <w:basedOn w:val="Normal"/>
    <w:next w:val="Normal"/>
    <w:autoRedefine/>
    <w:rsid w:val="00805BCE"/>
    <w:pPr>
      <w:ind w:left="720"/>
    </w:pPr>
    <w:rPr>
      <w:b/>
      <w:sz w:val="22"/>
    </w:rPr>
  </w:style>
  <w:style w:type="paragraph" w:styleId="INNH5">
    <w:name w:val="toc 5"/>
    <w:basedOn w:val="Normal"/>
    <w:next w:val="Normal"/>
    <w:autoRedefine/>
    <w:rsid w:val="00805BCE"/>
    <w:pPr>
      <w:ind w:left="960"/>
    </w:pPr>
    <w:rPr>
      <w:b/>
      <w:sz w:val="22"/>
    </w:rPr>
  </w:style>
  <w:style w:type="paragraph" w:styleId="INNH6">
    <w:name w:val="toc 6"/>
    <w:basedOn w:val="Normal"/>
    <w:next w:val="Normal"/>
    <w:autoRedefine/>
    <w:rsid w:val="00805BCE"/>
    <w:pPr>
      <w:ind w:left="1200"/>
    </w:pPr>
    <w:rPr>
      <w:b/>
      <w:sz w:val="22"/>
    </w:rPr>
  </w:style>
  <w:style w:type="paragraph" w:styleId="INNH7">
    <w:name w:val="toc 7"/>
    <w:basedOn w:val="Normal"/>
    <w:next w:val="Normal"/>
    <w:autoRedefine/>
    <w:rsid w:val="00805BCE"/>
    <w:pPr>
      <w:ind w:left="1440"/>
    </w:pPr>
    <w:rPr>
      <w:b/>
      <w:sz w:val="22"/>
    </w:rPr>
  </w:style>
  <w:style w:type="paragraph" w:styleId="INNH8">
    <w:name w:val="toc 8"/>
    <w:basedOn w:val="Normal"/>
    <w:next w:val="Normal"/>
    <w:autoRedefine/>
    <w:rsid w:val="00805BCE"/>
    <w:pPr>
      <w:ind w:left="1680"/>
    </w:pPr>
    <w:rPr>
      <w:b/>
      <w:sz w:val="22"/>
    </w:rPr>
  </w:style>
  <w:style w:type="paragraph" w:styleId="INNH9">
    <w:name w:val="toc 9"/>
    <w:basedOn w:val="Normal"/>
    <w:next w:val="Normal"/>
    <w:autoRedefine/>
    <w:rsid w:val="00805BCE"/>
    <w:pPr>
      <w:ind w:left="1920"/>
    </w:pPr>
    <w:rPr>
      <w:b/>
      <w:sz w:val="22"/>
    </w:rPr>
  </w:style>
  <w:style w:type="paragraph" w:styleId="Fotnotetekst">
    <w:name w:val="footnote text"/>
    <w:basedOn w:val="Normal"/>
    <w:rsid w:val="00805BCE"/>
    <w:rPr>
      <w:sz w:val="20"/>
      <w:szCs w:val="20"/>
    </w:rPr>
  </w:style>
  <w:style w:type="character" w:styleId="Hyperkobling">
    <w:name w:val="Hyperlink"/>
    <w:basedOn w:val="Standardskriftforavsnitt"/>
    <w:rsid w:val="00EF7B96"/>
    <w:rPr>
      <w:color w:val="0000FF"/>
      <w:u w:val="single"/>
    </w:rPr>
  </w:style>
  <w:style w:type="paragraph" w:styleId="Topptekst">
    <w:name w:val="header"/>
    <w:basedOn w:val="Normal"/>
    <w:link w:val="TopptekstTegn"/>
    <w:unhideWhenUsed/>
    <w:rsid w:val="0021164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211643"/>
    <w:rPr>
      <w:sz w:val="24"/>
      <w:szCs w:val="24"/>
    </w:rPr>
  </w:style>
  <w:style w:type="paragraph" w:styleId="Bunntekst">
    <w:name w:val="footer"/>
    <w:basedOn w:val="Normal"/>
    <w:link w:val="BunntekstTegn"/>
    <w:unhideWhenUsed/>
    <w:rsid w:val="0021164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211643"/>
    <w:rPr>
      <w:sz w:val="24"/>
      <w:szCs w:val="24"/>
    </w:rPr>
  </w:style>
  <w:style w:type="paragraph" w:styleId="Bobletekst">
    <w:name w:val="Balloon Text"/>
    <w:basedOn w:val="Normal"/>
    <w:link w:val="BobletekstTegn"/>
    <w:semiHidden/>
    <w:unhideWhenUsed/>
    <w:rsid w:val="00AC250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AC2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1334</Characters>
  <Application>Microsoft Office Word</Application>
  <DocSecurity>4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Forskrift om krav til kassasystem (kassasystemforskrifta)</vt:lpstr>
      <vt:lpstr/>
    </vt:vector>
  </TitlesOfParts>
  <Company>Stiftelsen Lovdata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Forskrift om krav til kassasystem (kassasystemforskrifta)</dc:title>
  <dc:subject>Forskrift om krav til kassasystem (kassasystemforskrifta)</dc:subject>
  <dc:creator>Stiftelsen Lovdata</dc:creator>
  <cp:lastModifiedBy>Løvseth Hanne Lene</cp:lastModifiedBy>
  <cp:revision>2</cp:revision>
  <cp:lastPrinted>2019-06-12T07:05:00Z</cp:lastPrinted>
  <dcterms:created xsi:type="dcterms:W3CDTF">2019-06-12T07:05:00Z</dcterms:created>
  <dcterms:modified xsi:type="dcterms:W3CDTF">2019-06-12T07:05:00Z</dcterms:modified>
  <cp:category>Juridisk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faultFont">
    <vt:lpwstr>Times New Roman</vt:lpwstr>
  </property>
  <property fmtid="{D5CDD505-2E9C-101B-9397-08002B2CF9AE}" pid="3" name="Lovdata-UID">
    <vt:i4>51847</vt:i4>
  </property>
</Properties>
</file>