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820C" w14:textId="5FAAB3C2" w:rsidR="00731064" w:rsidRDefault="00E72B8F">
      <w:pPr>
        <w:rPr>
          <w:b/>
          <w:sz w:val="28"/>
        </w:rPr>
      </w:pPr>
      <w:r>
        <w:rPr>
          <w:b/>
          <w:sz w:val="28"/>
        </w:rPr>
        <w:t xml:space="preserve">PROPOSED REGULATION CONCERNING AMENDMENTS TO REGULATIONS OF ENVIRONMENTAL SAFETY FOR SHIPS AND MOBILE OFFSHORE UNITS </w:t>
      </w:r>
    </w:p>
    <w:p w14:paraId="7198D867" w14:textId="0FB2CF59" w:rsidR="007F66F4" w:rsidRPr="007F66F4" w:rsidRDefault="001C5509" w:rsidP="001C5509">
      <w:pPr>
        <w:rPr>
          <w:rFonts w:cstheme="minorHAnsi"/>
          <w:sz w:val="18"/>
          <w:szCs w:val="18"/>
        </w:rPr>
      </w:pPr>
      <w:r>
        <w:rPr>
          <w:rFonts w:ascii="&amp;quot" w:hAnsi="&amp;quot"/>
          <w:b/>
          <w:bCs/>
          <w:sz w:val="18"/>
          <w:szCs w:val="18"/>
        </w:rPr>
        <w:t>Legal basis</w:t>
      </w:r>
      <w:r w:rsidRPr="00D85A65">
        <w:rPr>
          <w:rFonts w:cstheme="minorHAnsi"/>
          <w:b/>
          <w:bCs/>
          <w:sz w:val="18"/>
          <w:szCs w:val="18"/>
        </w:rPr>
        <w:t>:</w:t>
      </w:r>
      <w:r w:rsidRPr="00D85A65">
        <w:rPr>
          <w:rFonts w:cstheme="minorHAnsi"/>
          <w:sz w:val="18"/>
          <w:szCs w:val="18"/>
        </w:rPr>
        <w:t xml:space="preserve"> Laid down by the Norwegian Maritime Authority on xx. </w:t>
      </w:r>
      <w:r w:rsidR="00D85A65" w:rsidRPr="00D85A65">
        <w:rPr>
          <w:rFonts w:cstheme="minorHAnsi"/>
          <w:sz w:val="18"/>
          <w:szCs w:val="18"/>
        </w:rPr>
        <w:t>xx</w:t>
      </w:r>
      <w:r w:rsidRPr="00D85A65">
        <w:rPr>
          <w:rFonts w:cstheme="minorHAnsi"/>
          <w:sz w:val="18"/>
          <w:szCs w:val="18"/>
        </w:rPr>
        <w:t xml:space="preserve"> 2018 under the </w:t>
      </w:r>
      <w:bookmarkStart w:id="0" w:name="lov/2007-02-16-9"/>
      <w:r w:rsidRPr="00D85A65">
        <w:rPr>
          <w:rFonts w:cstheme="minorHAnsi"/>
          <w:sz w:val="18"/>
          <w:szCs w:val="18"/>
        </w:rPr>
        <w:t>Act of 16 February 2007 No. 9</w:t>
      </w:r>
      <w:bookmarkEnd w:id="0"/>
      <w:r w:rsidRPr="00D85A65">
        <w:rPr>
          <w:rFonts w:cstheme="minorHAnsi"/>
          <w:sz w:val="18"/>
          <w:szCs w:val="18"/>
        </w:rPr>
        <w:t xml:space="preserve"> relating to ship safety and security (Ship Safety and Security Act) </w:t>
      </w:r>
      <w:bookmarkStart w:id="1" w:name="lov/2007-02-16-9/§2"/>
      <w:r w:rsidRPr="00D85A65">
        <w:rPr>
          <w:rFonts w:cstheme="minorHAnsi"/>
          <w:sz w:val="18"/>
          <w:szCs w:val="18"/>
        </w:rPr>
        <w:t>sections 2</w:t>
      </w:r>
      <w:bookmarkEnd w:id="1"/>
      <w:r w:rsidRPr="00D85A65">
        <w:rPr>
          <w:rFonts w:cstheme="minorHAnsi"/>
          <w:sz w:val="18"/>
          <w:szCs w:val="18"/>
        </w:rPr>
        <w:t xml:space="preserve">, </w:t>
      </w:r>
      <w:bookmarkStart w:id="2" w:name="lov/2007-02-16-9/§3"/>
      <w:r w:rsidRPr="00D85A65">
        <w:rPr>
          <w:rFonts w:cstheme="minorHAnsi"/>
          <w:sz w:val="18"/>
          <w:szCs w:val="18"/>
        </w:rPr>
        <w:t>3</w:t>
      </w:r>
      <w:bookmarkEnd w:id="2"/>
      <w:r w:rsidRPr="00D85A65">
        <w:rPr>
          <w:rFonts w:cstheme="minorHAnsi"/>
          <w:sz w:val="18"/>
          <w:szCs w:val="18"/>
        </w:rPr>
        <w:t xml:space="preserve">, </w:t>
      </w:r>
      <w:bookmarkStart w:id="3" w:name="lov/2007-02-16-9/§6"/>
      <w:r w:rsidRPr="00D85A65">
        <w:rPr>
          <w:rFonts w:cstheme="minorHAnsi"/>
          <w:sz w:val="18"/>
          <w:szCs w:val="18"/>
        </w:rPr>
        <w:t>6</w:t>
      </w:r>
      <w:bookmarkEnd w:id="3"/>
      <w:r w:rsidRPr="00D85A65">
        <w:rPr>
          <w:rFonts w:cstheme="minorHAnsi"/>
          <w:sz w:val="18"/>
          <w:szCs w:val="18"/>
        </w:rPr>
        <w:t xml:space="preserve">, </w:t>
      </w:r>
      <w:bookmarkStart w:id="4" w:name="lov/2007-02-16-9/§13"/>
      <w:r w:rsidRPr="00D85A65">
        <w:rPr>
          <w:rFonts w:cstheme="minorHAnsi"/>
          <w:sz w:val="18"/>
          <w:szCs w:val="18"/>
        </w:rPr>
        <w:t>13</w:t>
      </w:r>
      <w:bookmarkEnd w:id="4"/>
      <w:r w:rsidRPr="00D85A65">
        <w:rPr>
          <w:rFonts w:cstheme="minorHAnsi"/>
          <w:sz w:val="18"/>
          <w:szCs w:val="18"/>
        </w:rPr>
        <w:t xml:space="preserve">, </w:t>
      </w:r>
      <w:bookmarkStart w:id="5" w:name="lov/2007-02-16-9/§31"/>
      <w:r w:rsidRPr="00D85A65">
        <w:rPr>
          <w:rFonts w:cstheme="minorHAnsi"/>
          <w:sz w:val="18"/>
          <w:szCs w:val="18"/>
        </w:rPr>
        <w:t>31</w:t>
      </w:r>
      <w:bookmarkEnd w:id="5"/>
      <w:r w:rsidRPr="00D85A65">
        <w:rPr>
          <w:rFonts w:cstheme="minorHAnsi"/>
          <w:sz w:val="18"/>
          <w:szCs w:val="18"/>
        </w:rPr>
        <w:t xml:space="preserve">, </w:t>
      </w:r>
      <w:bookmarkStart w:id="6" w:name="lov/2007-02-16-9/§32"/>
      <w:r w:rsidRPr="00D85A65">
        <w:rPr>
          <w:rFonts w:cstheme="minorHAnsi"/>
          <w:sz w:val="18"/>
          <w:szCs w:val="18"/>
        </w:rPr>
        <w:t>32</w:t>
      </w:r>
      <w:bookmarkEnd w:id="6"/>
      <w:r w:rsidRPr="00D85A65">
        <w:rPr>
          <w:rFonts w:cstheme="minorHAnsi"/>
          <w:sz w:val="18"/>
          <w:szCs w:val="18"/>
        </w:rPr>
        <w:t xml:space="preserve">, </w:t>
      </w:r>
      <w:bookmarkStart w:id="7" w:name="lov/2007-02-16-9/§33"/>
      <w:r w:rsidRPr="00D85A65">
        <w:rPr>
          <w:rFonts w:cstheme="minorHAnsi"/>
          <w:sz w:val="18"/>
          <w:szCs w:val="18"/>
        </w:rPr>
        <w:t>33</w:t>
      </w:r>
      <w:bookmarkEnd w:id="7"/>
      <w:r w:rsidRPr="00D85A65">
        <w:rPr>
          <w:rFonts w:cstheme="minorHAnsi"/>
          <w:sz w:val="18"/>
          <w:szCs w:val="18"/>
        </w:rPr>
        <w:t xml:space="preserve">, </w:t>
      </w:r>
      <w:bookmarkStart w:id="8" w:name="lov/2007-02-16-9/§34"/>
      <w:r w:rsidRPr="00D85A65">
        <w:rPr>
          <w:rFonts w:cstheme="minorHAnsi"/>
          <w:sz w:val="18"/>
          <w:szCs w:val="18"/>
        </w:rPr>
        <w:t>34</w:t>
      </w:r>
      <w:bookmarkEnd w:id="8"/>
      <w:r w:rsidRPr="00D85A65">
        <w:rPr>
          <w:rFonts w:cstheme="minorHAnsi"/>
          <w:sz w:val="18"/>
          <w:szCs w:val="18"/>
        </w:rPr>
        <w:t xml:space="preserve">, </w:t>
      </w:r>
      <w:bookmarkStart w:id="9" w:name="lov/2007-02-16-9/§35"/>
      <w:r w:rsidRPr="00D85A65">
        <w:rPr>
          <w:rFonts w:cstheme="minorHAnsi"/>
          <w:sz w:val="18"/>
          <w:szCs w:val="18"/>
        </w:rPr>
        <w:t>35</w:t>
      </w:r>
      <w:bookmarkEnd w:id="9"/>
      <w:r w:rsidRPr="00D85A65">
        <w:rPr>
          <w:rFonts w:cstheme="minorHAnsi"/>
          <w:sz w:val="18"/>
          <w:szCs w:val="18"/>
        </w:rPr>
        <w:t xml:space="preserve">, </w:t>
      </w:r>
      <w:bookmarkStart w:id="10" w:name="lov/2007-02-16-9/§37"/>
      <w:r w:rsidRPr="00D85A65">
        <w:rPr>
          <w:rFonts w:cstheme="minorHAnsi"/>
          <w:sz w:val="18"/>
          <w:szCs w:val="18"/>
        </w:rPr>
        <w:t>37</w:t>
      </w:r>
      <w:bookmarkEnd w:id="10"/>
      <w:r w:rsidRPr="00D85A65">
        <w:rPr>
          <w:rFonts w:cstheme="minorHAnsi"/>
          <w:sz w:val="18"/>
          <w:szCs w:val="18"/>
        </w:rPr>
        <w:t xml:space="preserve">, </w:t>
      </w:r>
      <w:bookmarkStart w:id="11" w:name="lov/2007-02-16-9/§38"/>
      <w:r w:rsidRPr="00D85A65">
        <w:rPr>
          <w:rFonts w:cstheme="minorHAnsi"/>
          <w:sz w:val="18"/>
          <w:szCs w:val="18"/>
        </w:rPr>
        <w:t>38</w:t>
      </w:r>
      <w:bookmarkEnd w:id="11"/>
      <w:r w:rsidRPr="00D85A65">
        <w:rPr>
          <w:rFonts w:cstheme="minorHAnsi"/>
          <w:sz w:val="18"/>
          <w:szCs w:val="18"/>
        </w:rPr>
        <w:t xml:space="preserve"> and </w:t>
      </w:r>
      <w:bookmarkStart w:id="12" w:name="lov/2007-02-16-9/§43"/>
      <w:r w:rsidRPr="00D85A65">
        <w:rPr>
          <w:rFonts w:cstheme="minorHAnsi"/>
          <w:sz w:val="18"/>
          <w:szCs w:val="18"/>
        </w:rPr>
        <w:t>43</w:t>
      </w:r>
      <w:bookmarkEnd w:id="12"/>
      <w:r w:rsidRPr="00D85A65">
        <w:rPr>
          <w:rFonts w:cstheme="minorHAnsi"/>
          <w:sz w:val="18"/>
          <w:szCs w:val="18"/>
        </w:rPr>
        <w:t xml:space="preserve">, cf. Formal Delegation of 16 February 2007 No. 171 and Formal Delegation of 29 June 2007 No. 849, </w:t>
      </w:r>
      <w:bookmarkStart w:id="13" w:name="lov/1998-06-26-47"/>
      <w:r w:rsidRPr="00D85A65">
        <w:rPr>
          <w:rFonts w:cstheme="minorHAnsi"/>
          <w:sz w:val="18"/>
          <w:szCs w:val="18"/>
        </w:rPr>
        <w:t>Act 26 June 1998 No. 47</w:t>
      </w:r>
      <w:bookmarkEnd w:id="13"/>
      <w:r w:rsidRPr="00D85A65">
        <w:rPr>
          <w:rFonts w:cstheme="minorHAnsi"/>
          <w:sz w:val="18"/>
          <w:szCs w:val="18"/>
        </w:rPr>
        <w:t xml:space="preserve"> relating to recreational and small craft </w:t>
      </w:r>
      <w:bookmarkStart w:id="14" w:name="lov/1998-06-26-47/§20"/>
      <w:r w:rsidRPr="00D85A65">
        <w:rPr>
          <w:rFonts w:cstheme="minorHAnsi"/>
          <w:sz w:val="18"/>
          <w:szCs w:val="18"/>
        </w:rPr>
        <w:t>sections 20</w:t>
      </w:r>
      <w:bookmarkEnd w:id="14"/>
      <w:r w:rsidRPr="00D85A65">
        <w:rPr>
          <w:rFonts w:cstheme="minorHAnsi"/>
          <w:sz w:val="18"/>
          <w:szCs w:val="18"/>
        </w:rPr>
        <w:t xml:space="preserve">, </w:t>
      </w:r>
      <w:bookmarkStart w:id="15" w:name="lov/1998-06-26-47/§21"/>
      <w:r w:rsidRPr="00D85A65">
        <w:rPr>
          <w:rFonts w:cstheme="minorHAnsi"/>
          <w:sz w:val="18"/>
          <w:szCs w:val="18"/>
        </w:rPr>
        <w:t>21</w:t>
      </w:r>
      <w:bookmarkEnd w:id="15"/>
      <w:r w:rsidRPr="00D85A65">
        <w:rPr>
          <w:rFonts w:cstheme="minorHAnsi"/>
          <w:sz w:val="18"/>
          <w:szCs w:val="18"/>
        </w:rPr>
        <w:t xml:space="preserve">, </w:t>
      </w:r>
      <w:bookmarkStart w:id="16" w:name="lov/1998-06-26-47/§22"/>
      <w:r w:rsidRPr="00D85A65">
        <w:rPr>
          <w:rFonts w:cstheme="minorHAnsi"/>
          <w:sz w:val="18"/>
          <w:szCs w:val="18"/>
        </w:rPr>
        <w:t>22</w:t>
      </w:r>
      <w:bookmarkEnd w:id="16"/>
      <w:r w:rsidRPr="00D85A65">
        <w:rPr>
          <w:rFonts w:cstheme="minorHAnsi"/>
          <w:sz w:val="18"/>
          <w:szCs w:val="18"/>
        </w:rPr>
        <w:t xml:space="preserve">, </w:t>
      </w:r>
      <w:bookmarkStart w:id="17" w:name="lov/1998-06-26-47/§23"/>
      <w:r w:rsidRPr="00D85A65">
        <w:rPr>
          <w:rFonts w:cstheme="minorHAnsi"/>
          <w:sz w:val="18"/>
          <w:szCs w:val="18"/>
        </w:rPr>
        <w:t>23</w:t>
      </w:r>
      <w:bookmarkEnd w:id="17"/>
      <w:r w:rsidRPr="00D85A65">
        <w:rPr>
          <w:rFonts w:cstheme="minorHAnsi"/>
          <w:sz w:val="18"/>
          <w:szCs w:val="18"/>
        </w:rPr>
        <w:t xml:space="preserve">, </w:t>
      </w:r>
      <w:bookmarkStart w:id="18" w:name="lov/1998-06-26-47/§25"/>
      <w:r w:rsidRPr="00D85A65">
        <w:rPr>
          <w:rFonts w:cstheme="minorHAnsi"/>
          <w:sz w:val="18"/>
          <w:szCs w:val="18"/>
        </w:rPr>
        <w:t>25</w:t>
      </w:r>
      <w:bookmarkEnd w:id="18"/>
      <w:r w:rsidRPr="00D85A65">
        <w:rPr>
          <w:rFonts w:cstheme="minorHAnsi"/>
          <w:sz w:val="18"/>
          <w:szCs w:val="18"/>
        </w:rPr>
        <w:t xml:space="preserve">, </w:t>
      </w:r>
      <w:bookmarkStart w:id="19" w:name="lov/1998-06-26-47/§26"/>
      <w:r w:rsidRPr="00D85A65">
        <w:rPr>
          <w:rFonts w:cstheme="minorHAnsi"/>
          <w:sz w:val="18"/>
          <w:szCs w:val="18"/>
        </w:rPr>
        <w:t>26</w:t>
      </w:r>
      <w:bookmarkEnd w:id="19"/>
      <w:r w:rsidRPr="00D85A65">
        <w:rPr>
          <w:rFonts w:cstheme="minorHAnsi"/>
          <w:sz w:val="18"/>
          <w:szCs w:val="18"/>
        </w:rPr>
        <w:t xml:space="preserve">, </w:t>
      </w:r>
      <w:bookmarkStart w:id="20" w:name="lov/1998-06-26-47/§38"/>
      <w:r w:rsidRPr="00D85A65">
        <w:rPr>
          <w:rFonts w:cstheme="minorHAnsi"/>
          <w:sz w:val="18"/>
          <w:szCs w:val="18"/>
        </w:rPr>
        <w:t>38</w:t>
      </w:r>
      <w:bookmarkEnd w:id="20"/>
      <w:r w:rsidRPr="00D85A65">
        <w:rPr>
          <w:rFonts w:cstheme="minorHAnsi"/>
          <w:sz w:val="18"/>
          <w:szCs w:val="18"/>
        </w:rPr>
        <w:t xml:space="preserve"> and </w:t>
      </w:r>
      <w:bookmarkStart w:id="21" w:name="lov/1998-06-26-47/§39"/>
      <w:r w:rsidRPr="00D85A65">
        <w:rPr>
          <w:rFonts w:cstheme="minorHAnsi"/>
          <w:sz w:val="18"/>
          <w:szCs w:val="18"/>
        </w:rPr>
        <w:t>39</w:t>
      </w:r>
      <w:bookmarkEnd w:id="21"/>
      <w:r w:rsidRPr="00D85A65">
        <w:rPr>
          <w:rFonts w:cstheme="minorHAnsi"/>
          <w:sz w:val="18"/>
          <w:szCs w:val="18"/>
        </w:rPr>
        <w:t xml:space="preserve">, cf. </w:t>
      </w:r>
      <w:bookmarkStart w:id="22" w:name="forskrift/1998-11-27-1095"/>
      <w:r w:rsidRPr="00D85A65">
        <w:rPr>
          <w:rFonts w:cstheme="minorHAnsi"/>
          <w:sz w:val="18"/>
          <w:szCs w:val="18"/>
        </w:rPr>
        <w:t>Formal Delegation of 27 November 1998 No. 1095</w:t>
      </w:r>
      <w:bookmarkEnd w:id="22"/>
      <w:r w:rsidRPr="00D85A65">
        <w:rPr>
          <w:rFonts w:cstheme="minorHAnsi"/>
          <w:sz w:val="18"/>
          <w:szCs w:val="18"/>
        </w:rPr>
        <w:t xml:space="preserve">, </w:t>
      </w:r>
      <w:bookmarkStart w:id="23" w:name="forskrift/2007-06-29-848"/>
      <w:r w:rsidRPr="00D85A65">
        <w:rPr>
          <w:rFonts w:cstheme="minorHAnsi"/>
          <w:sz w:val="18"/>
          <w:szCs w:val="18"/>
        </w:rPr>
        <w:t>Formal Delegation 29 June 2007 No. 848</w:t>
      </w:r>
      <w:bookmarkEnd w:id="23"/>
      <w:r w:rsidRPr="00D85A65">
        <w:rPr>
          <w:rFonts w:cstheme="minorHAnsi"/>
          <w:sz w:val="18"/>
          <w:szCs w:val="18"/>
        </w:rPr>
        <w:t xml:space="preserve">, </w:t>
      </w:r>
      <w:bookmarkStart w:id="24" w:name="forskrift/1998-12-01-4532"/>
      <w:r w:rsidRPr="00D85A65">
        <w:rPr>
          <w:rFonts w:cstheme="minorHAnsi"/>
          <w:sz w:val="18"/>
          <w:szCs w:val="18"/>
        </w:rPr>
        <w:t>Formal Delegation 1 December 1998 No. 4532</w:t>
      </w:r>
      <w:bookmarkStart w:id="25" w:name="forskrift/2007-05-31-591"/>
      <w:bookmarkEnd w:id="24"/>
      <w:r w:rsidRPr="00D85A65">
        <w:rPr>
          <w:rFonts w:cstheme="minorHAnsi"/>
          <w:sz w:val="18"/>
          <w:szCs w:val="18"/>
        </w:rPr>
        <w:t>, Formal Delegation 31 May 2007 No. 591</w:t>
      </w:r>
      <w:bookmarkEnd w:id="25"/>
      <w:r w:rsidRPr="00D85A65">
        <w:rPr>
          <w:rFonts w:cstheme="minorHAnsi"/>
          <w:sz w:val="18"/>
          <w:szCs w:val="18"/>
        </w:rPr>
        <w:t xml:space="preserve"> and Formal Delegation 29 June 2007 No. 849. </w:t>
      </w:r>
    </w:p>
    <w:p w14:paraId="1240EB11" w14:textId="77777777" w:rsidR="008212A1" w:rsidRPr="00521527" w:rsidRDefault="008212A1" w:rsidP="00124F82">
      <w:pPr>
        <w:ind w:left="2832" w:firstLine="708"/>
        <w:rPr>
          <w:b/>
        </w:rPr>
      </w:pPr>
      <w:r>
        <w:rPr>
          <w:b/>
        </w:rPr>
        <w:t>I</w:t>
      </w:r>
    </w:p>
    <w:p w14:paraId="21FFBD33" w14:textId="19453E93" w:rsidR="00D6011B" w:rsidRPr="00CA4CEE" w:rsidRDefault="00D6011B" w:rsidP="0017413C">
      <w:r>
        <w:t>Regulations of 30 May 2012 No. 488 on environmental safety for ships and mobile offshore units are amended as follows:</w:t>
      </w:r>
    </w:p>
    <w:p w14:paraId="0D58E7C4" w14:textId="4D79D920" w:rsidR="00CF0C13" w:rsidRPr="00F75620" w:rsidRDefault="00602187" w:rsidP="00CA4CEE">
      <w:pPr>
        <w:spacing w:after="0" w:line="240" w:lineRule="auto"/>
        <w:rPr>
          <w:rFonts w:eastAsia="Times New Roman" w:cstheme="minorHAnsi"/>
          <w:bCs/>
          <w:color w:val="A6A6A6" w:themeColor="background1" w:themeShade="A6"/>
        </w:rPr>
      </w:pPr>
      <w:r w:rsidRPr="00F75620">
        <w:rPr>
          <w:bCs/>
          <w:color w:val="A6A6A6" w:themeColor="background1" w:themeShade="A6"/>
        </w:rPr>
        <w:t xml:space="preserve">Section 9 first paragraph should read: </w:t>
      </w:r>
    </w:p>
    <w:p w14:paraId="7BBB370D" w14:textId="6AF0B9F4" w:rsidR="00CA4CEE" w:rsidRPr="00F75620" w:rsidRDefault="00CF0C13" w:rsidP="00CA4CEE">
      <w:pPr>
        <w:spacing w:after="0" w:line="240" w:lineRule="auto"/>
        <w:rPr>
          <w:rFonts w:eastAsia="Times New Roman" w:cstheme="minorHAnsi"/>
          <w:b/>
          <w:bCs/>
          <w:color w:val="A6A6A6" w:themeColor="background1" w:themeShade="A6"/>
        </w:rPr>
      </w:pPr>
      <w:r w:rsidRPr="00F75620">
        <w:rPr>
          <w:color w:val="A6A6A6" w:themeColor="background1" w:themeShade="A6"/>
        </w:rPr>
        <w:t xml:space="preserve">   MARPOL consolidated edition 2017 Annex IV on the prevention of pollution by sewage, as amended by MEPC.200(62), MEPC.216(63), MEPC.246(66), MEPC.265(68), MEPC.274(69) and MEPC.275(69), shall apply as regulation</w:t>
      </w:r>
      <w:r w:rsidRPr="00F75620">
        <w:rPr>
          <w:i/>
          <w:color w:val="A6A6A6" w:themeColor="background1" w:themeShade="A6"/>
        </w:rPr>
        <w:t xml:space="preserve"> for ships of 400 gross tonnage and upwards </w:t>
      </w:r>
      <w:r w:rsidR="00D85A65" w:rsidRPr="00F75620">
        <w:rPr>
          <w:i/>
          <w:color w:val="A6A6A6" w:themeColor="background1" w:themeShade="A6"/>
        </w:rPr>
        <w:t xml:space="preserve">or which are </w:t>
      </w:r>
      <w:r w:rsidRPr="00F75620">
        <w:rPr>
          <w:i/>
          <w:color w:val="A6A6A6" w:themeColor="background1" w:themeShade="A6"/>
        </w:rPr>
        <w:t>certified to carry more than 15 persons, in Norwegian sea areas south of Lindesnes (N 57° 58’8 E</w:t>
      </w:r>
      <w:r w:rsidR="00D85A65" w:rsidRPr="00F75620">
        <w:rPr>
          <w:i/>
          <w:color w:val="A6A6A6" w:themeColor="background1" w:themeShade="A6"/>
        </w:rPr>
        <w:t> </w:t>
      </w:r>
      <w:r w:rsidRPr="00F75620">
        <w:rPr>
          <w:i/>
          <w:color w:val="A6A6A6" w:themeColor="background1" w:themeShade="A6"/>
        </w:rPr>
        <w:t>7°</w:t>
      </w:r>
      <w:r w:rsidR="00D85A65" w:rsidRPr="00F75620">
        <w:rPr>
          <w:i/>
          <w:color w:val="A6A6A6" w:themeColor="background1" w:themeShade="A6"/>
        </w:rPr>
        <w:t> </w:t>
      </w:r>
      <w:r w:rsidRPr="00F75620">
        <w:rPr>
          <w:i/>
          <w:color w:val="A6A6A6" w:themeColor="background1" w:themeShade="A6"/>
        </w:rPr>
        <w:t>3’4) to the dividing line between Norway and Denmark (N 57° 10’3 E 7° 3’4) and into the waters from the dividing line to the Swedish border</w:t>
      </w:r>
      <w:r w:rsidRPr="00F75620">
        <w:rPr>
          <w:color w:val="A6A6A6" w:themeColor="background1" w:themeShade="A6"/>
        </w:rPr>
        <w:t>.</w:t>
      </w:r>
      <w:r w:rsidRPr="00F75620">
        <w:rPr>
          <w:i/>
          <w:color w:val="A6A6A6" w:themeColor="background1" w:themeShade="A6"/>
        </w:rPr>
        <w:t xml:space="preserve"> </w:t>
      </w:r>
      <w:r w:rsidRPr="00F75620">
        <w:rPr>
          <w:color w:val="A6A6A6" w:themeColor="background1" w:themeShade="A6"/>
        </w:rPr>
        <w:t xml:space="preserve">In MARPOL, "ship" also means mobile offshore units. </w:t>
      </w:r>
    </w:p>
    <w:p w14:paraId="59C17ABB" w14:textId="57927A95" w:rsidR="006A22AC" w:rsidRPr="00F75620" w:rsidRDefault="006A22AC" w:rsidP="00ED7443">
      <w:pPr>
        <w:spacing w:after="0" w:line="240" w:lineRule="auto"/>
        <w:rPr>
          <w:b/>
          <w:color w:val="A6A6A6" w:themeColor="background1" w:themeShade="A6"/>
          <w:sz w:val="28"/>
        </w:rPr>
      </w:pPr>
    </w:p>
    <w:p w14:paraId="2EDFAA7A" w14:textId="450A2BCA" w:rsidR="006A22AC" w:rsidRPr="00F75620" w:rsidRDefault="006A22AC" w:rsidP="006A22AC">
      <w:pPr>
        <w:spacing w:after="0" w:line="240" w:lineRule="auto"/>
        <w:rPr>
          <w:rFonts w:eastAsia="Times New Roman" w:cstheme="minorHAnsi"/>
          <w:bCs/>
          <w:i/>
          <w:color w:val="A6A6A6" w:themeColor="background1" w:themeShade="A6"/>
        </w:rPr>
      </w:pPr>
      <w:r w:rsidRPr="00F75620">
        <w:rPr>
          <w:color w:val="A6A6A6" w:themeColor="background1" w:themeShade="A6"/>
        </w:rPr>
        <w:t xml:space="preserve">The heading of section 10 should read: </w:t>
      </w:r>
      <w:r w:rsidRPr="00F75620">
        <w:rPr>
          <w:bCs/>
          <w:i/>
          <w:color w:val="A6A6A6" w:themeColor="background1" w:themeShade="A6"/>
        </w:rPr>
        <w:t xml:space="preserve">Special rules </w:t>
      </w:r>
      <w:r w:rsidRPr="00F75620">
        <w:rPr>
          <w:rStyle w:val="Utheving"/>
          <w:bCs/>
          <w:color w:val="A6A6A6" w:themeColor="background1" w:themeShade="A6"/>
        </w:rPr>
        <w:t xml:space="preserve">regarding the discharge of sewage, </w:t>
      </w:r>
      <w:r w:rsidR="00D85A65" w:rsidRPr="00F75620">
        <w:rPr>
          <w:rStyle w:val="Utheving"/>
          <w:bCs/>
          <w:color w:val="A6A6A6" w:themeColor="background1" w:themeShade="A6"/>
        </w:rPr>
        <w:t>wash</w:t>
      </w:r>
      <w:r w:rsidRPr="00F75620">
        <w:rPr>
          <w:rStyle w:val="Utheving"/>
          <w:bCs/>
          <w:color w:val="A6A6A6" w:themeColor="background1" w:themeShade="A6"/>
        </w:rPr>
        <w:t xml:space="preserve"> water and similar into Norwegian waters</w:t>
      </w:r>
    </w:p>
    <w:p w14:paraId="61AD3EF3" w14:textId="77777777" w:rsidR="006A22AC" w:rsidRPr="00F75620" w:rsidRDefault="006A22AC" w:rsidP="00ED7443">
      <w:pPr>
        <w:spacing w:after="0" w:line="240" w:lineRule="auto"/>
        <w:rPr>
          <w:b/>
          <w:color w:val="A6A6A6" w:themeColor="background1" w:themeShade="A6"/>
          <w:sz w:val="28"/>
        </w:rPr>
      </w:pPr>
    </w:p>
    <w:p w14:paraId="283C1981" w14:textId="200F13C8" w:rsidR="006A22AC" w:rsidRPr="00F75620" w:rsidRDefault="005A5AD6" w:rsidP="005A5AD6">
      <w:pPr>
        <w:spacing w:after="0" w:line="240" w:lineRule="auto"/>
        <w:rPr>
          <w:rFonts w:eastAsia="Times New Roman" w:cstheme="minorHAnsi"/>
          <w:bCs/>
          <w:color w:val="A6A6A6" w:themeColor="background1" w:themeShade="A6"/>
        </w:rPr>
      </w:pPr>
      <w:r w:rsidRPr="00F75620">
        <w:rPr>
          <w:color w:val="A6A6A6" w:themeColor="background1" w:themeShade="A6"/>
        </w:rPr>
        <w:t>Section 10 second paragraph should read:</w:t>
      </w:r>
    </w:p>
    <w:p w14:paraId="58A0C08E" w14:textId="323ECE42" w:rsidR="00185AEA" w:rsidRPr="00F75620" w:rsidRDefault="00ED7443" w:rsidP="00ED7443">
      <w:pPr>
        <w:spacing w:after="0" w:line="240" w:lineRule="auto"/>
        <w:rPr>
          <w:rFonts w:eastAsia="Times New Roman" w:cstheme="minorHAnsi"/>
          <w:i/>
          <w:color w:val="A6A6A6" w:themeColor="background1" w:themeShade="A6"/>
        </w:rPr>
      </w:pPr>
      <w:r w:rsidRPr="00F75620">
        <w:rPr>
          <w:b/>
          <w:bCs/>
          <w:color w:val="A6A6A6" w:themeColor="background1" w:themeShade="A6"/>
        </w:rPr>
        <w:t xml:space="preserve">   </w:t>
      </w:r>
      <w:r w:rsidRPr="00F75620">
        <w:rPr>
          <w:color w:val="A6A6A6" w:themeColor="background1" w:themeShade="A6"/>
        </w:rPr>
        <w:t xml:space="preserve">The discharge of sewage into Norwegian near-coastal waters within a distance of 300 metres from the mainland and islands is prohibited. </w:t>
      </w:r>
      <w:r w:rsidRPr="00F75620">
        <w:rPr>
          <w:i/>
          <w:color w:val="A6A6A6" w:themeColor="background1" w:themeShade="A6"/>
        </w:rPr>
        <w:t xml:space="preserve">Discharges from sewage treatment plants that satisfy the requirements of MARPOL Annex IV regulation 9.1 is not considered sewage. </w:t>
      </w:r>
    </w:p>
    <w:p w14:paraId="0805CABA" w14:textId="27207238" w:rsidR="00185AEA" w:rsidRPr="00F75620" w:rsidRDefault="005A5AD6" w:rsidP="005A5AD6">
      <w:pPr>
        <w:spacing w:before="225" w:after="0" w:line="240" w:lineRule="auto"/>
        <w:rPr>
          <w:rFonts w:eastAsia="Times New Roman" w:cstheme="minorHAnsi"/>
          <w:color w:val="A6A6A6" w:themeColor="background1" w:themeShade="A6"/>
        </w:rPr>
      </w:pPr>
      <w:r w:rsidRPr="00F75620">
        <w:rPr>
          <w:color w:val="A6A6A6" w:themeColor="background1" w:themeShade="A6"/>
        </w:rPr>
        <w:t xml:space="preserve">Section 10 third paragraph is repealed. The current fourth and fifth paragraphs become third and fourth paragraphs. </w:t>
      </w:r>
    </w:p>
    <w:p w14:paraId="0B499DE8" w14:textId="7750E4A6" w:rsidR="006826F8" w:rsidRPr="00F75620" w:rsidRDefault="00185AEA" w:rsidP="00ED7443">
      <w:pPr>
        <w:spacing w:after="0"/>
        <w:rPr>
          <w:rFonts w:cstheme="minorHAnsi"/>
          <w:color w:val="A6A6A6" w:themeColor="background1" w:themeShade="A6"/>
        </w:rPr>
      </w:pPr>
      <w:r w:rsidRPr="00F75620">
        <w:rPr>
          <w:color w:val="A6A6A6" w:themeColor="background1" w:themeShade="A6"/>
        </w:rPr>
        <w:t xml:space="preserve">New section 10a should read: </w:t>
      </w:r>
    </w:p>
    <w:p w14:paraId="32A3E451" w14:textId="42B0345D" w:rsidR="006A5DE7" w:rsidRPr="00F75620" w:rsidRDefault="006A5DE7" w:rsidP="00ED7443">
      <w:pPr>
        <w:spacing w:after="0"/>
        <w:rPr>
          <w:rFonts w:cstheme="minorHAnsi"/>
          <w:i/>
          <w:color w:val="A6A6A6" w:themeColor="background1" w:themeShade="A6"/>
        </w:rPr>
      </w:pPr>
    </w:p>
    <w:p w14:paraId="77CB05F3" w14:textId="2707343D" w:rsidR="006A5DE7" w:rsidRPr="00F75620" w:rsidRDefault="006A5DE7" w:rsidP="00ED7443">
      <w:pPr>
        <w:spacing w:after="0"/>
        <w:rPr>
          <w:rFonts w:cstheme="minorHAnsi"/>
          <w:i/>
          <w:color w:val="A6A6A6" w:themeColor="background1" w:themeShade="A6"/>
        </w:rPr>
      </w:pPr>
      <w:r w:rsidRPr="00F75620">
        <w:rPr>
          <w:i/>
          <w:color w:val="A6A6A6" w:themeColor="background1" w:themeShade="A6"/>
        </w:rPr>
        <w:t>Section 10a</w:t>
      </w:r>
      <w:r w:rsidRPr="00F75620">
        <w:rPr>
          <w:i/>
          <w:color w:val="A6A6A6" w:themeColor="background1" w:themeShade="A6"/>
        </w:rPr>
        <w:tab/>
        <w:t>Special rules regarding discharge of sewage and grey water in the world heritage fjords</w:t>
      </w:r>
    </w:p>
    <w:p w14:paraId="2D65598C" w14:textId="77777777" w:rsidR="006A5DE7" w:rsidRPr="00F75620" w:rsidRDefault="006A5DE7" w:rsidP="00ED7443">
      <w:pPr>
        <w:spacing w:after="0"/>
        <w:rPr>
          <w:rFonts w:cstheme="minorHAnsi"/>
          <w:i/>
          <w:color w:val="A6A6A6" w:themeColor="background1" w:themeShade="A6"/>
        </w:rPr>
      </w:pPr>
    </w:p>
    <w:p w14:paraId="6A5053C3" w14:textId="53EB813B" w:rsidR="00C527E0" w:rsidRPr="00F75620" w:rsidRDefault="006826F8" w:rsidP="00ED7443">
      <w:pPr>
        <w:spacing w:after="0"/>
        <w:rPr>
          <w:rFonts w:eastAsia="Times New Roman" w:cstheme="minorHAnsi"/>
          <w:i/>
          <w:color w:val="A6A6A6" w:themeColor="background1" w:themeShade="A6"/>
        </w:rPr>
      </w:pPr>
      <w:r w:rsidRPr="00F75620">
        <w:rPr>
          <w:i/>
          <w:color w:val="A6A6A6" w:themeColor="background1" w:themeShade="A6"/>
        </w:rPr>
        <w:t xml:space="preserve">   Ships of 400 gross tonnage and upwards </w:t>
      </w:r>
      <w:r w:rsidR="00D85A65" w:rsidRPr="00F75620">
        <w:rPr>
          <w:i/>
          <w:color w:val="A6A6A6" w:themeColor="background1" w:themeShade="A6"/>
        </w:rPr>
        <w:t xml:space="preserve">or which are </w:t>
      </w:r>
      <w:r w:rsidRPr="00F75620">
        <w:rPr>
          <w:i/>
          <w:color w:val="A6A6A6" w:themeColor="background1" w:themeShade="A6"/>
        </w:rPr>
        <w:t>certified to carry more than 15 persons are not allowed to discharge sewage in</w:t>
      </w:r>
      <w:r w:rsidR="00D85A65" w:rsidRPr="00F75620">
        <w:rPr>
          <w:i/>
          <w:color w:val="A6A6A6" w:themeColor="background1" w:themeShade="A6"/>
        </w:rPr>
        <w:t>to</w:t>
      </w:r>
      <w:r w:rsidRPr="00F75620">
        <w:rPr>
          <w:i/>
          <w:color w:val="A6A6A6" w:themeColor="background1" w:themeShade="A6"/>
        </w:rPr>
        <w:t xml:space="preserve"> the world heritage fjords.</w:t>
      </w:r>
    </w:p>
    <w:p w14:paraId="5ECA985A" w14:textId="2A2A9333" w:rsidR="00741FE0" w:rsidRPr="00F75620" w:rsidRDefault="003F2B55" w:rsidP="00ED7443">
      <w:pPr>
        <w:spacing w:after="0" w:line="240" w:lineRule="auto"/>
        <w:rPr>
          <w:rFonts w:eastAsia="Times New Roman" w:cstheme="minorHAnsi"/>
          <w:i/>
          <w:color w:val="A6A6A6" w:themeColor="background1" w:themeShade="A6"/>
        </w:rPr>
      </w:pPr>
      <w:r w:rsidRPr="00F75620">
        <w:rPr>
          <w:i/>
          <w:color w:val="A6A6A6" w:themeColor="background1" w:themeShade="A6"/>
        </w:rPr>
        <w:t xml:space="preserve">   Ships of 2500 gross tonnage and upwards certified to carry more than 100 persons are not allowed to discharge grey water in</w:t>
      </w:r>
      <w:r w:rsidR="00D85A65" w:rsidRPr="00F75620">
        <w:rPr>
          <w:i/>
          <w:color w:val="A6A6A6" w:themeColor="background1" w:themeShade="A6"/>
        </w:rPr>
        <w:t>to</w:t>
      </w:r>
      <w:r w:rsidRPr="00F75620">
        <w:rPr>
          <w:i/>
          <w:color w:val="A6A6A6" w:themeColor="background1" w:themeShade="A6"/>
        </w:rPr>
        <w:t xml:space="preserve"> the world heritage fjords. For the purposes of these Regulations, grey water means wash</w:t>
      </w:r>
      <w:r w:rsidR="00D85A65" w:rsidRPr="00F75620">
        <w:rPr>
          <w:i/>
          <w:color w:val="A6A6A6" w:themeColor="background1" w:themeShade="A6"/>
        </w:rPr>
        <w:t xml:space="preserve"> </w:t>
      </w:r>
      <w:r w:rsidRPr="00F75620">
        <w:rPr>
          <w:i/>
          <w:color w:val="A6A6A6" w:themeColor="background1" w:themeShade="A6"/>
        </w:rPr>
        <w:t xml:space="preserve">water from dishwashing, washbasins and other sinks, showers, laundry, bathtubs and similar. </w:t>
      </w:r>
    </w:p>
    <w:p w14:paraId="30EACBFC" w14:textId="2EF419C5" w:rsidR="0029347B" w:rsidRPr="00F75620" w:rsidRDefault="006826F8" w:rsidP="00742401">
      <w:pPr>
        <w:spacing w:after="0"/>
        <w:rPr>
          <w:rFonts w:cstheme="minorHAnsi"/>
          <w:i/>
          <w:color w:val="A6A6A6" w:themeColor="background1" w:themeShade="A6"/>
        </w:rPr>
      </w:pPr>
      <w:r w:rsidRPr="00F75620">
        <w:rPr>
          <w:i/>
          <w:color w:val="A6A6A6" w:themeColor="background1" w:themeShade="A6"/>
        </w:rPr>
        <w:t xml:space="preserve">   The world heritage fjords means the world heritage site the West Norwegian Fjords, which for the purposes of these Regulations consist of the following sea areas: </w:t>
      </w:r>
    </w:p>
    <w:p w14:paraId="32AB16D2" w14:textId="3E674FE7" w:rsidR="00D77BCA" w:rsidRPr="00F75620" w:rsidRDefault="00C149AF" w:rsidP="00D85A65">
      <w:pPr>
        <w:ind w:left="708"/>
        <w:rPr>
          <w:i/>
          <w:iCs/>
          <w:color w:val="A6A6A6" w:themeColor="background1" w:themeShade="A6"/>
        </w:rPr>
      </w:pPr>
      <w:r w:rsidRPr="00F75620">
        <w:rPr>
          <w:i/>
          <w:color w:val="A6A6A6" w:themeColor="background1" w:themeShade="A6"/>
        </w:rPr>
        <w:t xml:space="preserve">a) the Geirangerfjord area: </w:t>
      </w:r>
      <w:r w:rsidRPr="00F75620">
        <w:rPr>
          <w:i/>
          <w:iCs/>
          <w:color w:val="A6A6A6" w:themeColor="background1" w:themeShade="A6"/>
        </w:rPr>
        <w:t>The Geirangerfjord/Sunnylvsfjord south of the line between N 62° 13’ 42″ E 7° 2’ 30″ and N 62° 13’ 48″ E 7° 0’ 30″ with the exception of Hellesylt west of the line between N 62° 5’ 42″ E 6° 54’ 18″ and N 62° 6’ 30″ E 6° 54’ 42″ and with the addition of the Tafjord east of the line between N 62° 17’ 12″ E 7° 19’ 48″ and N 62° 17’ 36″ E 7° 20’ 12″.</w:t>
      </w:r>
    </w:p>
    <w:p w14:paraId="6144287D" w14:textId="511D3C4B" w:rsidR="00D77BCA" w:rsidRPr="00F75620" w:rsidRDefault="00D77BCA" w:rsidP="00D85A65">
      <w:pPr>
        <w:spacing w:after="0"/>
        <w:ind w:left="708"/>
        <w:rPr>
          <w:i/>
          <w:iCs/>
          <w:color w:val="A6A6A6" w:themeColor="background1" w:themeShade="A6"/>
        </w:rPr>
      </w:pPr>
      <w:r w:rsidRPr="00F75620">
        <w:rPr>
          <w:i/>
          <w:iCs/>
          <w:color w:val="A6A6A6" w:themeColor="background1" w:themeShade="A6"/>
        </w:rPr>
        <w:lastRenderedPageBreak/>
        <w:t>b) the Nærøyfjord area: The Nærøyfjord/Aurlandsfjord south of the line between N 61° 3’ 36″ E 7° 2’ 54″ and N 61° 3’ 24″ E 7° 0’ 54″.</w:t>
      </w:r>
    </w:p>
    <w:p w14:paraId="6D35FF1A" w14:textId="3E5DD9C1" w:rsidR="006826F8" w:rsidRPr="00F75620" w:rsidRDefault="006826F8" w:rsidP="00521527">
      <w:pPr>
        <w:spacing w:after="0"/>
        <w:rPr>
          <w:rFonts w:eastAsia="Times New Roman" w:cstheme="minorHAnsi"/>
          <w:i/>
          <w:color w:val="A6A6A6" w:themeColor="background1" w:themeShade="A6"/>
        </w:rPr>
      </w:pPr>
      <w:r w:rsidRPr="00F75620">
        <w:rPr>
          <w:i/>
          <w:color w:val="A6A6A6" w:themeColor="background1" w:themeShade="A6"/>
        </w:rPr>
        <w:t xml:space="preserve">   The Norwegian Maritime Authority may upon written application up until 2024 grant a time-limited permission to discharge sewage in</w:t>
      </w:r>
      <w:r w:rsidR="00D85A65" w:rsidRPr="00F75620">
        <w:rPr>
          <w:i/>
          <w:color w:val="A6A6A6" w:themeColor="background1" w:themeShade="A6"/>
        </w:rPr>
        <w:t>to</w:t>
      </w:r>
      <w:r w:rsidRPr="00F75620">
        <w:rPr>
          <w:i/>
          <w:color w:val="A6A6A6" w:themeColor="background1" w:themeShade="A6"/>
        </w:rPr>
        <w:t xml:space="preserve"> the world heritage fjords to ships running a regular service on a public contract and to ships offering an established fjord cruise service. </w:t>
      </w:r>
    </w:p>
    <w:p w14:paraId="51AE3CC6" w14:textId="5127FAA5" w:rsidR="006826F8" w:rsidRPr="00F75620" w:rsidRDefault="006826F8" w:rsidP="0024462E">
      <w:pPr>
        <w:spacing w:after="0" w:line="240" w:lineRule="auto"/>
        <w:rPr>
          <w:rFonts w:eastAsia="Times New Roman" w:cstheme="minorHAnsi"/>
          <w:i/>
          <w:color w:val="A6A6A6" w:themeColor="background1" w:themeShade="A6"/>
          <w:lang w:eastAsia="nb-NO"/>
        </w:rPr>
      </w:pPr>
    </w:p>
    <w:p w14:paraId="3DD85F31" w14:textId="7929F904" w:rsidR="006C4AD9" w:rsidRPr="00F75620" w:rsidRDefault="00143B98" w:rsidP="00ED7443">
      <w:pPr>
        <w:spacing w:after="0" w:line="240" w:lineRule="auto"/>
        <w:rPr>
          <w:rFonts w:eastAsia="Times New Roman" w:cstheme="minorHAnsi"/>
          <w:strike/>
          <w:color w:val="A6A6A6" w:themeColor="background1" w:themeShade="A6"/>
        </w:rPr>
      </w:pPr>
      <w:r w:rsidRPr="00F75620">
        <w:rPr>
          <w:strike/>
          <w:color w:val="A6A6A6" w:themeColor="background1" w:themeShade="A6"/>
        </w:rPr>
        <w:t xml:space="preserve">Section 13 second paragraph should read:    </w:t>
      </w:r>
    </w:p>
    <w:p w14:paraId="0B42ED93" w14:textId="7C081140" w:rsidR="00ED7443" w:rsidRPr="00F75620" w:rsidRDefault="006C4AD9" w:rsidP="00ED7443">
      <w:pPr>
        <w:spacing w:after="0" w:line="240" w:lineRule="auto"/>
        <w:rPr>
          <w:rFonts w:eastAsia="Times New Roman" w:cstheme="minorHAnsi"/>
          <w:strike/>
          <w:color w:val="A6A6A6" w:themeColor="background1" w:themeShade="A6"/>
        </w:rPr>
      </w:pPr>
      <w:r w:rsidRPr="00F75620">
        <w:rPr>
          <w:strike/>
          <w:color w:val="A6A6A6" w:themeColor="background1" w:themeShade="A6"/>
        </w:rPr>
        <w:t xml:space="preserve">   Fuel changeover operations shall be carried out as quickly as possible, </w:t>
      </w:r>
      <w:r w:rsidRPr="00F75620">
        <w:rPr>
          <w:i/>
          <w:strike/>
          <w:color w:val="A6A6A6" w:themeColor="background1" w:themeShade="A6"/>
        </w:rPr>
        <w:t xml:space="preserve">and at the latest within two hours, after the ship is </w:t>
      </w:r>
      <w:r w:rsidRPr="00F75620">
        <w:rPr>
          <w:strike/>
          <w:color w:val="A6A6A6" w:themeColor="background1" w:themeShade="A6"/>
        </w:rPr>
        <w:t xml:space="preserve">securely moored or anchored inside a port area. </w:t>
      </w:r>
      <w:r w:rsidRPr="00F75620">
        <w:rPr>
          <w:i/>
          <w:strike/>
          <w:color w:val="A6A6A6" w:themeColor="background1" w:themeShade="A6"/>
        </w:rPr>
        <w:t>The changeover shall</w:t>
      </w:r>
      <w:r w:rsidRPr="00F75620">
        <w:rPr>
          <w:strike/>
          <w:color w:val="A6A6A6" w:themeColor="background1" w:themeShade="A6"/>
        </w:rPr>
        <w:t xml:space="preserve"> be entered in the engine room log book. </w:t>
      </w:r>
    </w:p>
    <w:p w14:paraId="13F5EE21" w14:textId="77777777" w:rsidR="001C543E" w:rsidRPr="00F75620" w:rsidRDefault="001C543E" w:rsidP="00ED7443">
      <w:pPr>
        <w:spacing w:after="0" w:line="240" w:lineRule="auto"/>
        <w:rPr>
          <w:strike/>
          <w:color w:val="A6A6A6" w:themeColor="background1" w:themeShade="A6"/>
        </w:rPr>
      </w:pPr>
    </w:p>
    <w:p w14:paraId="3143AC96" w14:textId="77777777" w:rsidR="001C543E" w:rsidRPr="00F75620" w:rsidRDefault="001004AD" w:rsidP="00ED7443">
      <w:pPr>
        <w:spacing w:after="0" w:line="240" w:lineRule="auto"/>
        <w:rPr>
          <w:strike/>
          <w:color w:val="A6A6A6" w:themeColor="background1" w:themeShade="A6"/>
        </w:rPr>
      </w:pPr>
      <w:r w:rsidRPr="00F75620">
        <w:rPr>
          <w:strike/>
          <w:color w:val="A6A6A6" w:themeColor="background1" w:themeShade="A6"/>
        </w:rPr>
        <w:t>Section 13 third paragraph should read:</w:t>
      </w:r>
    </w:p>
    <w:p w14:paraId="21A0E377" w14:textId="58655C27" w:rsidR="00ED7443" w:rsidRPr="00F75620" w:rsidRDefault="001C543E" w:rsidP="00ED7443">
      <w:pPr>
        <w:spacing w:after="0" w:line="240" w:lineRule="auto"/>
        <w:rPr>
          <w:i/>
          <w:strike/>
          <w:color w:val="A6A6A6" w:themeColor="background1" w:themeShade="A6"/>
        </w:rPr>
      </w:pPr>
      <w:r w:rsidRPr="00F75620">
        <w:rPr>
          <w:strike/>
          <w:color w:val="A6A6A6" w:themeColor="background1" w:themeShade="A6"/>
        </w:rPr>
        <w:t xml:space="preserve">   </w:t>
      </w:r>
      <w:r w:rsidRPr="00F75620">
        <w:rPr>
          <w:i/>
          <w:strike/>
          <w:color w:val="A6A6A6" w:themeColor="background1" w:themeShade="A6"/>
        </w:rPr>
        <w:t xml:space="preserve">Ships using open loop exhaust gas cleaning systems in the world heritage fjords must close down the exhaust gas cleaning system two hours after the ship is securely moored or anchored. The exhaust gas cleaning system may be restarted up to two hours before departure. </w:t>
      </w:r>
    </w:p>
    <w:p w14:paraId="0072DD1D" w14:textId="77777777" w:rsidR="00ED7443" w:rsidRPr="00F75620" w:rsidRDefault="00ED7443" w:rsidP="00ED7443">
      <w:pPr>
        <w:spacing w:after="0" w:line="240" w:lineRule="auto"/>
        <w:rPr>
          <w:rFonts w:eastAsia="Times New Roman" w:cstheme="minorHAnsi"/>
          <w:i/>
          <w:strike/>
          <w:color w:val="A6A6A6" w:themeColor="background1" w:themeShade="A6"/>
          <w:lang w:eastAsia="nb-NO"/>
        </w:rPr>
      </w:pPr>
    </w:p>
    <w:p w14:paraId="08099C35" w14:textId="283C5E3D" w:rsidR="001004AD" w:rsidRPr="00F75620" w:rsidRDefault="001004AD" w:rsidP="00ED7443">
      <w:pPr>
        <w:spacing w:after="0" w:line="240" w:lineRule="auto"/>
        <w:rPr>
          <w:rFonts w:eastAsia="Times New Roman" w:cstheme="minorHAnsi"/>
          <w:i/>
          <w:strike/>
          <w:color w:val="A6A6A6" w:themeColor="background1" w:themeShade="A6"/>
        </w:rPr>
      </w:pPr>
      <w:r w:rsidRPr="00F75620">
        <w:rPr>
          <w:strike/>
          <w:color w:val="A6A6A6" w:themeColor="background1" w:themeShade="A6"/>
        </w:rPr>
        <w:t xml:space="preserve">Existing section 13 third paragraph becomes fourth paragraph. </w:t>
      </w:r>
    </w:p>
    <w:p w14:paraId="090EAE59" w14:textId="77777777" w:rsidR="001C543E" w:rsidRPr="00F75620" w:rsidRDefault="001C543E" w:rsidP="0024462E">
      <w:pPr>
        <w:spacing w:after="0" w:line="240" w:lineRule="auto"/>
        <w:rPr>
          <w:rFonts w:eastAsia="Times New Roman" w:cstheme="minorHAnsi"/>
          <w:i/>
          <w:color w:val="A6A6A6" w:themeColor="background1" w:themeShade="A6"/>
          <w:lang w:eastAsia="nb-NO"/>
        </w:rPr>
      </w:pPr>
    </w:p>
    <w:p w14:paraId="4700E7CE" w14:textId="671C2DE6" w:rsidR="0024462E" w:rsidRPr="00F75620" w:rsidRDefault="00F75620" w:rsidP="0024462E">
      <w:pPr>
        <w:spacing w:after="0" w:line="240" w:lineRule="auto"/>
        <w:rPr>
          <w:rFonts w:eastAsia="Times New Roman" w:cstheme="minorHAnsi"/>
          <w:strike/>
          <w:color w:val="A6A6A6" w:themeColor="background1" w:themeShade="A6"/>
        </w:rPr>
      </w:pPr>
      <w:r w:rsidRPr="00F75620">
        <w:rPr>
          <w:i/>
          <w:strike/>
          <w:color w:val="A6A6A6" w:themeColor="background1" w:themeShade="A6"/>
        </w:rPr>
        <w:t>Section 14b</w:t>
      </w:r>
      <w:r w:rsidR="001C543E" w:rsidRPr="00F75620">
        <w:rPr>
          <w:i/>
          <w:strike/>
          <w:color w:val="A6A6A6" w:themeColor="background1" w:themeShade="A6"/>
        </w:rPr>
        <w:tab/>
        <w:t>Special rules regarding emission of sulphur oxides (SO</w:t>
      </w:r>
      <w:r w:rsidR="001C543E" w:rsidRPr="00F75620">
        <w:rPr>
          <w:i/>
          <w:strike/>
          <w:color w:val="A6A6A6" w:themeColor="background1" w:themeShade="A6"/>
          <w:vertAlign w:val="subscript"/>
        </w:rPr>
        <w:t>x</w:t>
      </w:r>
      <w:r w:rsidR="001C543E" w:rsidRPr="00F75620">
        <w:rPr>
          <w:i/>
          <w:strike/>
          <w:color w:val="A6A6A6" w:themeColor="background1" w:themeShade="A6"/>
        </w:rPr>
        <w:t>) from ships in the world heritage fjords</w:t>
      </w:r>
    </w:p>
    <w:p w14:paraId="06045498" w14:textId="09DD49FE" w:rsidR="00687F31" w:rsidRPr="00F75620" w:rsidRDefault="001C543E" w:rsidP="00110A8E">
      <w:pPr>
        <w:spacing w:after="0"/>
        <w:rPr>
          <w:i/>
          <w:strike/>
          <w:color w:val="A6A6A6" w:themeColor="background1" w:themeShade="A6"/>
        </w:rPr>
      </w:pPr>
      <w:r w:rsidRPr="00F75620">
        <w:rPr>
          <w:strike/>
          <w:color w:val="A6A6A6" w:themeColor="background1" w:themeShade="A6"/>
        </w:rPr>
        <w:t xml:space="preserve">   </w:t>
      </w:r>
      <w:r w:rsidRPr="00F75620">
        <w:rPr>
          <w:i/>
          <w:strike/>
          <w:color w:val="A6A6A6" w:themeColor="background1" w:themeShade="A6"/>
        </w:rPr>
        <w:t>Ships in the world heritage fjords shall use either:</w:t>
      </w:r>
    </w:p>
    <w:p w14:paraId="6F2DFA59" w14:textId="4EDCC6EA" w:rsidR="00687F31" w:rsidRPr="00F75620" w:rsidRDefault="00687F31" w:rsidP="00521527">
      <w:pPr>
        <w:spacing w:after="0"/>
        <w:ind w:firstLine="708"/>
        <w:rPr>
          <w:i/>
          <w:strike/>
          <w:color w:val="A6A6A6" w:themeColor="background1" w:themeShade="A6"/>
        </w:rPr>
      </w:pPr>
      <w:r w:rsidRPr="00F75620">
        <w:rPr>
          <w:i/>
          <w:strike/>
          <w:color w:val="A6A6A6" w:themeColor="background1" w:themeShade="A6"/>
        </w:rPr>
        <w:t>a) fuel with a sulphur content not exceeding 0.10% by weight; or</w:t>
      </w:r>
    </w:p>
    <w:p w14:paraId="5139D212" w14:textId="5263ECA0" w:rsidR="00687F31" w:rsidRPr="00F75620" w:rsidRDefault="00687F31" w:rsidP="00521527">
      <w:pPr>
        <w:spacing w:after="0"/>
        <w:ind w:left="708"/>
        <w:rPr>
          <w:i/>
          <w:strike/>
          <w:color w:val="A6A6A6" w:themeColor="background1" w:themeShade="A6"/>
        </w:rPr>
      </w:pPr>
      <w:r w:rsidRPr="00F75620">
        <w:rPr>
          <w:i/>
          <w:strike/>
          <w:color w:val="A6A6A6" w:themeColor="background1" w:themeShade="A6"/>
        </w:rPr>
        <w:t>b) an approved exhaust gas cleaning system where the ratio between SO</w:t>
      </w:r>
      <w:r w:rsidRPr="00F75620">
        <w:rPr>
          <w:i/>
          <w:strike/>
          <w:color w:val="A6A6A6" w:themeColor="background1" w:themeShade="A6"/>
          <w:vertAlign w:val="subscript"/>
        </w:rPr>
        <w:t>2</w:t>
      </w:r>
      <w:r w:rsidRPr="00F75620">
        <w:rPr>
          <w:i/>
          <w:strike/>
          <w:color w:val="A6A6A6" w:themeColor="background1" w:themeShade="A6"/>
        </w:rPr>
        <w:t xml:space="preserve"> (ppm) and CO</w:t>
      </w:r>
      <w:r w:rsidRPr="00F75620">
        <w:rPr>
          <w:i/>
          <w:strike/>
          <w:color w:val="A6A6A6" w:themeColor="background1" w:themeShade="A6"/>
          <w:vertAlign w:val="subscript"/>
        </w:rPr>
        <w:t>2</w:t>
      </w:r>
      <w:r w:rsidRPr="00F75620">
        <w:rPr>
          <w:i/>
          <w:strike/>
          <w:color w:val="A6A6A6" w:themeColor="background1" w:themeShade="A6"/>
        </w:rPr>
        <w:t xml:space="preserve"> (%</w:t>
      </w:r>
      <w:r w:rsidR="00D85A65" w:rsidRPr="00F75620">
        <w:rPr>
          <w:i/>
          <w:strike/>
          <w:color w:val="A6A6A6" w:themeColor="background1" w:themeShade="A6"/>
        </w:rPr>
        <w:t> </w:t>
      </w:r>
      <w:r w:rsidRPr="00F75620">
        <w:rPr>
          <w:i/>
          <w:strike/>
          <w:color w:val="A6A6A6" w:themeColor="background1" w:themeShade="A6"/>
        </w:rPr>
        <w:t>by volume) in the emission gas does not exceed 4.3.</w:t>
      </w:r>
    </w:p>
    <w:p w14:paraId="3709D13E" w14:textId="090750C2" w:rsidR="00DA6842" w:rsidRPr="00F75620" w:rsidRDefault="00DA6842" w:rsidP="007F5597">
      <w:pPr>
        <w:spacing w:after="0"/>
        <w:rPr>
          <w:i/>
          <w:strike/>
          <w:color w:val="A6A6A6" w:themeColor="background1" w:themeShade="A6"/>
        </w:rPr>
      </w:pPr>
      <w:r w:rsidRPr="00F75620">
        <w:rPr>
          <w:i/>
          <w:strike/>
          <w:color w:val="A6A6A6" w:themeColor="background1" w:themeShade="A6"/>
        </w:rPr>
        <w:t xml:space="preserve">   Ships using an open loop exhaust gas cleaning system shall log the amount of wash water discharged from the exhaust gas cleaning system, indicated in m</w:t>
      </w:r>
      <w:r w:rsidRPr="00F75620">
        <w:rPr>
          <w:i/>
          <w:strike/>
          <w:color w:val="A6A6A6" w:themeColor="background1" w:themeShade="A6"/>
          <w:vertAlign w:val="superscript"/>
        </w:rPr>
        <w:t>3</w:t>
      </w:r>
      <w:r w:rsidRPr="00F75620">
        <w:rPr>
          <w:i/>
          <w:strike/>
          <w:color w:val="A6A6A6" w:themeColor="background1" w:themeShade="A6"/>
        </w:rPr>
        <w:t>/h.</w:t>
      </w:r>
    </w:p>
    <w:p w14:paraId="4C5D6016" w14:textId="77777777" w:rsidR="00446FAC" w:rsidRDefault="00446FAC" w:rsidP="00D7529F">
      <w:pPr>
        <w:spacing w:after="0" w:line="240" w:lineRule="auto"/>
        <w:rPr>
          <w:rFonts w:cstheme="minorHAnsi"/>
          <w:b/>
          <w:color w:val="A6A6A6" w:themeColor="background1" w:themeShade="A6"/>
        </w:rPr>
      </w:pPr>
    </w:p>
    <w:p w14:paraId="5A56AC13" w14:textId="34BD90E6" w:rsidR="00F75620" w:rsidRDefault="00F75620" w:rsidP="00D7529F">
      <w:pPr>
        <w:spacing w:after="0" w:line="240" w:lineRule="auto"/>
        <w:rPr>
          <w:rFonts w:cstheme="minorHAnsi"/>
        </w:rPr>
      </w:pPr>
      <w:r w:rsidRPr="00F75620">
        <w:rPr>
          <w:rFonts w:cstheme="minorHAnsi"/>
        </w:rPr>
        <w:t>New section 14b should read:</w:t>
      </w:r>
    </w:p>
    <w:p w14:paraId="6961D54B" w14:textId="77777777" w:rsidR="00DD5F67" w:rsidRDefault="00DD5F67" w:rsidP="00DD5F67">
      <w:pPr>
        <w:spacing w:after="0" w:line="240" w:lineRule="auto"/>
        <w:rPr>
          <w:rFonts w:cstheme="minorHAnsi"/>
        </w:rPr>
      </w:pPr>
    </w:p>
    <w:p w14:paraId="6C2497F1" w14:textId="77777777" w:rsidR="00DD5F67" w:rsidRPr="00DD5F67" w:rsidRDefault="00DD5F67" w:rsidP="00DD5F67">
      <w:pPr>
        <w:spacing w:after="0" w:line="240" w:lineRule="auto"/>
        <w:rPr>
          <w:rFonts w:cstheme="minorHAnsi"/>
          <w:i/>
        </w:rPr>
      </w:pPr>
      <w:r w:rsidRPr="00DD5F67">
        <w:rPr>
          <w:rFonts w:cstheme="minorHAnsi"/>
        </w:rPr>
        <w:t xml:space="preserve">Section 14b   </w:t>
      </w:r>
      <w:r w:rsidRPr="00DD5F67">
        <w:rPr>
          <w:rFonts w:cstheme="minorHAnsi"/>
          <w:i/>
        </w:rPr>
        <w:t>Special rules regarding emission of sulphur oxides (SOx) from ships in the world heritage fjords</w:t>
      </w:r>
    </w:p>
    <w:p w14:paraId="52E5DD54" w14:textId="77777777" w:rsidR="00DD5F67" w:rsidRPr="00DD5F67" w:rsidRDefault="00DD5F67" w:rsidP="00DD5F67">
      <w:pPr>
        <w:spacing w:after="0" w:line="240" w:lineRule="auto"/>
        <w:rPr>
          <w:rFonts w:cstheme="minorHAnsi"/>
          <w:i/>
        </w:rPr>
      </w:pPr>
      <w:r w:rsidRPr="00DD5F67">
        <w:rPr>
          <w:rFonts w:cstheme="minorHAnsi"/>
          <w:i/>
        </w:rPr>
        <w:t xml:space="preserve">   Ships in the world heritage fjords are required to use fuel with a sulphur content not exceeding 0.10% by weight. </w:t>
      </w:r>
    </w:p>
    <w:p w14:paraId="02E80800" w14:textId="5768C531" w:rsidR="00DD5F67" w:rsidRPr="00DD5F67" w:rsidRDefault="00DD5F67" w:rsidP="00DD5F67">
      <w:pPr>
        <w:spacing w:after="0" w:line="240" w:lineRule="auto"/>
        <w:rPr>
          <w:rFonts w:cstheme="minorHAnsi"/>
          <w:i/>
        </w:rPr>
      </w:pPr>
      <w:r w:rsidRPr="00DD5F67">
        <w:rPr>
          <w:rFonts w:cstheme="minorHAnsi"/>
          <w:i/>
        </w:rPr>
        <w:t xml:space="preserve">   It is not allowed to use exhaust gas cleaning systems as an equivalent solution to meeting the sulphur requirements in the world heritage fjords.  </w:t>
      </w:r>
    </w:p>
    <w:p w14:paraId="06A04524" w14:textId="77777777" w:rsidR="00A84752" w:rsidRPr="00F75620" w:rsidRDefault="00A84752" w:rsidP="00D7529F">
      <w:pPr>
        <w:spacing w:after="0" w:line="240" w:lineRule="auto"/>
        <w:rPr>
          <w:rFonts w:cstheme="minorHAnsi"/>
          <w:color w:val="A6A6A6" w:themeColor="background1" w:themeShade="A6"/>
        </w:rPr>
      </w:pPr>
    </w:p>
    <w:p w14:paraId="18503151" w14:textId="25341902" w:rsidR="00D7529F" w:rsidRPr="00F75620" w:rsidRDefault="00A63FCB" w:rsidP="00D7529F">
      <w:pPr>
        <w:spacing w:after="0" w:line="240" w:lineRule="auto"/>
        <w:rPr>
          <w:rFonts w:eastAsia="Times New Roman" w:cstheme="minorHAnsi"/>
          <w:color w:val="A6A6A6" w:themeColor="background1" w:themeShade="A6"/>
          <w:vertAlign w:val="subscript"/>
        </w:rPr>
      </w:pPr>
      <w:r w:rsidRPr="00F75620">
        <w:rPr>
          <w:color w:val="A6A6A6" w:themeColor="background1" w:themeShade="A6"/>
        </w:rPr>
        <w:t>Section 14c</w:t>
      </w:r>
      <w:r w:rsidRPr="00F75620">
        <w:rPr>
          <w:color w:val="A6A6A6" w:themeColor="background1" w:themeShade="A6"/>
        </w:rPr>
        <w:tab/>
      </w:r>
      <w:r w:rsidRPr="00F75620">
        <w:rPr>
          <w:i/>
          <w:color w:val="A6A6A6" w:themeColor="background1" w:themeShade="A6"/>
        </w:rPr>
        <w:t>Special rules regarding emission of nitrogen oxides (NO</w:t>
      </w:r>
      <w:r w:rsidRPr="00F75620">
        <w:rPr>
          <w:i/>
          <w:color w:val="A6A6A6" w:themeColor="background1" w:themeShade="A6"/>
          <w:vertAlign w:val="subscript"/>
        </w:rPr>
        <w:t>x</w:t>
      </w:r>
      <w:r w:rsidRPr="00F75620">
        <w:rPr>
          <w:i/>
          <w:color w:val="A6A6A6" w:themeColor="background1" w:themeShade="A6"/>
        </w:rPr>
        <w:t>) from ships in the world heritage fjords</w:t>
      </w:r>
    </w:p>
    <w:p w14:paraId="19A07690" w14:textId="188616A1" w:rsidR="00D85A65" w:rsidRPr="00F75620" w:rsidRDefault="00664E33" w:rsidP="007F5597">
      <w:pPr>
        <w:spacing w:after="0" w:line="240" w:lineRule="auto"/>
        <w:rPr>
          <w:i/>
          <w:color w:val="A6A6A6" w:themeColor="background1" w:themeShade="A6"/>
        </w:rPr>
      </w:pPr>
      <w:r w:rsidRPr="00F75620">
        <w:rPr>
          <w:i/>
          <w:color w:val="A6A6A6" w:themeColor="background1" w:themeShade="A6"/>
        </w:rPr>
        <w:t xml:space="preserve">   Ships of 1000 gross tonnage and upwards shall</w:t>
      </w:r>
      <w:r w:rsidR="00D85A65" w:rsidRPr="00F75620">
        <w:rPr>
          <w:i/>
          <w:color w:val="A6A6A6" w:themeColor="background1" w:themeShade="A6"/>
        </w:rPr>
        <w:t>, irrespective of the requirements in force at the year of the ship’s construction, in the world heritage fjords comply with:</w:t>
      </w:r>
    </w:p>
    <w:p w14:paraId="33E6259C" w14:textId="77777777" w:rsidR="00D85A65" w:rsidRPr="00F75620" w:rsidRDefault="00664E33" w:rsidP="00D85A65">
      <w:pPr>
        <w:pStyle w:val="Listeavsnitt"/>
        <w:numPr>
          <w:ilvl w:val="0"/>
          <w:numId w:val="9"/>
        </w:numPr>
        <w:spacing w:after="0" w:line="240" w:lineRule="auto"/>
        <w:rPr>
          <w:rFonts w:eastAsia="Times New Roman" w:cstheme="minorHAnsi"/>
          <w:i/>
          <w:color w:val="A6A6A6" w:themeColor="background1" w:themeShade="A6"/>
        </w:rPr>
      </w:pPr>
      <w:r w:rsidRPr="00F75620">
        <w:rPr>
          <w:i/>
          <w:color w:val="A6A6A6" w:themeColor="background1" w:themeShade="A6"/>
        </w:rPr>
        <w:t>the Tier I requirements, cf. MARPOL regulation VI/13, by 1 January 2020</w:t>
      </w:r>
      <w:r w:rsidR="00D85A65" w:rsidRPr="00F75620">
        <w:rPr>
          <w:i/>
          <w:color w:val="A6A6A6" w:themeColor="background1" w:themeShade="A6"/>
        </w:rPr>
        <w:t>;</w:t>
      </w:r>
    </w:p>
    <w:p w14:paraId="504A8B6B" w14:textId="77777777" w:rsidR="00D85A65" w:rsidRPr="00F75620" w:rsidRDefault="00735303" w:rsidP="007F5597">
      <w:pPr>
        <w:pStyle w:val="Listeavsnitt"/>
        <w:numPr>
          <w:ilvl w:val="0"/>
          <w:numId w:val="9"/>
        </w:numPr>
        <w:spacing w:after="0" w:line="240" w:lineRule="auto"/>
        <w:rPr>
          <w:i/>
          <w:color w:val="A6A6A6" w:themeColor="background1" w:themeShade="A6"/>
        </w:rPr>
      </w:pPr>
      <w:r w:rsidRPr="00F75620">
        <w:rPr>
          <w:i/>
          <w:color w:val="A6A6A6" w:themeColor="background1" w:themeShade="A6"/>
        </w:rPr>
        <w:t>the Tier II requirements, cf. MARPOL regulation VI/13, by 1 January 2022</w:t>
      </w:r>
      <w:r w:rsidR="00D85A65" w:rsidRPr="00F75620">
        <w:rPr>
          <w:i/>
          <w:color w:val="A6A6A6" w:themeColor="background1" w:themeShade="A6"/>
        </w:rPr>
        <w:t>;</w:t>
      </w:r>
    </w:p>
    <w:p w14:paraId="40DB7E23" w14:textId="3AA82AE3" w:rsidR="00DF5D21" w:rsidRDefault="00735303" w:rsidP="007F5597">
      <w:pPr>
        <w:pStyle w:val="Listeavsnitt"/>
        <w:numPr>
          <w:ilvl w:val="0"/>
          <w:numId w:val="9"/>
        </w:numPr>
        <w:spacing w:after="0" w:line="240" w:lineRule="auto"/>
        <w:rPr>
          <w:i/>
          <w:color w:val="A6A6A6" w:themeColor="background1" w:themeShade="A6"/>
        </w:rPr>
      </w:pPr>
      <w:r w:rsidRPr="00F75620">
        <w:rPr>
          <w:i/>
          <w:color w:val="A6A6A6" w:themeColor="background1" w:themeShade="A6"/>
        </w:rPr>
        <w:t xml:space="preserve">the Tier III requirements, cf. MARPOL regulation VI/13, by 1 January 2025. </w:t>
      </w:r>
    </w:p>
    <w:p w14:paraId="50C237F0" w14:textId="77777777" w:rsidR="00F75620" w:rsidRDefault="00F75620" w:rsidP="00F75620">
      <w:pPr>
        <w:spacing w:after="0" w:line="240" w:lineRule="auto"/>
        <w:rPr>
          <w:i/>
          <w:color w:val="A6A6A6" w:themeColor="background1" w:themeShade="A6"/>
        </w:rPr>
      </w:pPr>
    </w:p>
    <w:p w14:paraId="6EC696EC" w14:textId="45409073" w:rsidR="00F75620" w:rsidRDefault="00F75620" w:rsidP="00F75620">
      <w:pPr>
        <w:spacing w:after="0" w:line="240" w:lineRule="auto"/>
      </w:pPr>
      <w:r w:rsidRPr="00F75620">
        <w:t>New section 14c</w:t>
      </w:r>
      <w:r>
        <w:t xml:space="preserve"> second paragraph</w:t>
      </w:r>
      <w:r w:rsidRPr="00F75620">
        <w:t xml:space="preserve"> should read:</w:t>
      </w:r>
    </w:p>
    <w:p w14:paraId="692530A3" w14:textId="77777777" w:rsidR="00DD5F67" w:rsidRDefault="00DD5F67" w:rsidP="00F75620">
      <w:pPr>
        <w:spacing w:after="0" w:line="240" w:lineRule="auto"/>
      </w:pPr>
    </w:p>
    <w:p w14:paraId="7A25DDF0" w14:textId="00FA6027" w:rsidR="00DD5F67" w:rsidRPr="00DD5F67" w:rsidRDefault="00DD5F67" w:rsidP="00F75620">
      <w:pPr>
        <w:spacing w:after="0" w:line="240" w:lineRule="auto"/>
        <w:rPr>
          <w:i/>
        </w:rPr>
      </w:pPr>
      <w:r>
        <w:rPr>
          <w:i/>
        </w:rPr>
        <w:t xml:space="preserve">   </w:t>
      </w:r>
      <w:r w:rsidRPr="00DD5F67">
        <w:rPr>
          <w:i/>
        </w:rPr>
        <w:t>The Norwegian Maritime Authority may upon written application from the company grant exemption for a ship from the Tier I requirements set out in MARPOL regulation VI/13 cf. section 12, if it can be documented that the ship will comply with the Tier III requirements not later than 1 January 2022.</w:t>
      </w:r>
    </w:p>
    <w:p w14:paraId="2047632E" w14:textId="77777777" w:rsidR="00DD5F67" w:rsidRDefault="00DD5F67" w:rsidP="007F5597">
      <w:pPr>
        <w:spacing w:after="0" w:line="276" w:lineRule="auto"/>
        <w:rPr>
          <w:i/>
          <w:color w:val="A6A6A6" w:themeColor="background1" w:themeShade="A6"/>
        </w:rPr>
      </w:pPr>
    </w:p>
    <w:p w14:paraId="6C01DADF" w14:textId="77777777" w:rsidR="00664E33" w:rsidRPr="00F75620" w:rsidRDefault="00202343" w:rsidP="007F5597">
      <w:pPr>
        <w:spacing w:after="0" w:line="276" w:lineRule="auto"/>
        <w:rPr>
          <w:rFonts w:cstheme="minorHAnsi"/>
          <w:color w:val="A6A6A6" w:themeColor="background1" w:themeShade="A6"/>
        </w:rPr>
      </w:pPr>
      <w:r w:rsidRPr="00F75620">
        <w:rPr>
          <w:color w:val="A6A6A6" w:themeColor="background1" w:themeShade="A6"/>
        </w:rPr>
        <w:lastRenderedPageBreak/>
        <w:t xml:space="preserve">New section 14d should read: </w:t>
      </w:r>
    </w:p>
    <w:p w14:paraId="1778BFAB" w14:textId="77777777" w:rsidR="00664E33" w:rsidRPr="00F75620" w:rsidRDefault="00664E33" w:rsidP="00664E33">
      <w:pPr>
        <w:spacing w:after="0" w:line="276" w:lineRule="auto"/>
        <w:rPr>
          <w:rFonts w:cstheme="minorHAnsi"/>
          <w:color w:val="A6A6A6" w:themeColor="background1" w:themeShade="A6"/>
        </w:rPr>
      </w:pPr>
    </w:p>
    <w:p w14:paraId="4026A504" w14:textId="63992679" w:rsidR="00947299" w:rsidRPr="00F75620" w:rsidRDefault="00947299" w:rsidP="00664E33">
      <w:pPr>
        <w:spacing w:after="0" w:line="276" w:lineRule="auto"/>
        <w:rPr>
          <w:rFonts w:cstheme="minorHAnsi"/>
          <w:i/>
          <w:iCs/>
          <w:color w:val="A6A6A6" w:themeColor="background1" w:themeShade="A6"/>
        </w:rPr>
      </w:pPr>
      <w:r w:rsidRPr="00F75620">
        <w:rPr>
          <w:color w:val="A6A6A6" w:themeColor="background1" w:themeShade="A6"/>
        </w:rPr>
        <w:t>Section 14d</w:t>
      </w:r>
      <w:r w:rsidRPr="00F75620">
        <w:rPr>
          <w:color w:val="A6A6A6" w:themeColor="background1" w:themeShade="A6"/>
        </w:rPr>
        <w:tab/>
      </w:r>
      <w:r w:rsidRPr="00F75620">
        <w:rPr>
          <w:i/>
          <w:iCs/>
          <w:color w:val="A6A6A6" w:themeColor="background1" w:themeShade="A6"/>
        </w:rPr>
        <w:t>Requirement for environmental instruction for ships of more than 10,000 gross tonnage sailing in the world heritage fjords</w:t>
      </w:r>
    </w:p>
    <w:p w14:paraId="45FFB8CB" w14:textId="7AC22625" w:rsidR="00271B4E" w:rsidRPr="00F75620" w:rsidRDefault="00F3693F" w:rsidP="007F5597">
      <w:pPr>
        <w:spacing w:after="0" w:line="276" w:lineRule="auto"/>
        <w:rPr>
          <w:rFonts w:cstheme="minorHAnsi"/>
          <w:i/>
          <w:iCs/>
          <w:color w:val="A6A6A6" w:themeColor="background1" w:themeShade="A6"/>
          <w:sz w:val="24"/>
        </w:rPr>
      </w:pPr>
      <w:r w:rsidRPr="00F75620">
        <w:rPr>
          <w:i/>
          <w:iCs/>
          <w:color w:val="A6A6A6" w:themeColor="background1" w:themeShade="A6"/>
        </w:rPr>
        <w:t xml:space="preserve">   Ships of 10,000 gross tonnage and upwards sailing in the world heritage fjords shall have an environmental instruction specially adapted to operation in these areas.</w:t>
      </w:r>
      <w:r w:rsidRPr="00F75620">
        <w:rPr>
          <w:i/>
          <w:iCs/>
          <w:color w:val="A6A6A6" w:themeColor="background1" w:themeShade="A6"/>
          <w:szCs w:val="26"/>
        </w:rPr>
        <w:t xml:space="preserve"> The environmental instruction shall ensure that the ship is operated as environmentally</w:t>
      </w:r>
      <w:r w:rsidR="00D85A65" w:rsidRPr="00F75620">
        <w:rPr>
          <w:i/>
          <w:iCs/>
          <w:color w:val="A6A6A6" w:themeColor="background1" w:themeShade="A6"/>
          <w:szCs w:val="26"/>
        </w:rPr>
        <w:t xml:space="preserve"> </w:t>
      </w:r>
      <w:r w:rsidRPr="00F75620">
        <w:rPr>
          <w:i/>
          <w:iCs/>
          <w:color w:val="A6A6A6" w:themeColor="background1" w:themeShade="A6"/>
          <w:szCs w:val="26"/>
        </w:rPr>
        <w:t>friendly as possible. The instruction shall as a minimum indicate:</w:t>
      </w:r>
    </w:p>
    <w:p w14:paraId="7E610B00" w14:textId="30060EB5" w:rsidR="00271B4E" w:rsidRPr="00F75620" w:rsidRDefault="00982913" w:rsidP="00521527">
      <w:pPr>
        <w:pStyle w:val="Listeavsnitt"/>
        <w:numPr>
          <w:ilvl w:val="0"/>
          <w:numId w:val="8"/>
        </w:numPr>
        <w:rPr>
          <w:rFonts w:cstheme="minorHAnsi"/>
          <w:i/>
          <w:iCs/>
          <w:color w:val="A6A6A6" w:themeColor="background1" w:themeShade="A6"/>
          <w:szCs w:val="26"/>
        </w:rPr>
      </w:pPr>
      <w:r w:rsidRPr="00F75620">
        <w:rPr>
          <w:i/>
          <w:color w:val="A6A6A6" w:themeColor="background1" w:themeShade="A6"/>
          <w:szCs w:val="26"/>
        </w:rPr>
        <w:t>the vessel’s NO</w:t>
      </w:r>
      <w:r w:rsidRPr="00F75620">
        <w:rPr>
          <w:i/>
          <w:color w:val="A6A6A6" w:themeColor="background1" w:themeShade="A6"/>
          <w:szCs w:val="26"/>
          <w:vertAlign w:val="subscript"/>
        </w:rPr>
        <w:t>x</w:t>
      </w:r>
      <w:r w:rsidRPr="00F75620">
        <w:rPr>
          <w:i/>
          <w:color w:val="A6A6A6" w:themeColor="background1" w:themeShade="A6"/>
          <w:szCs w:val="26"/>
        </w:rPr>
        <w:t xml:space="preserve"> Tier, cf. section 12, cf. MARPOL regulation VI/13;</w:t>
      </w:r>
    </w:p>
    <w:p w14:paraId="6BEFF53C" w14:textId="78361413" w:rsidR="00271B4E" w:rsidRPr="00F75620" w:rsidRDefault="00982913" w:rsidP="00521527">
      <w:pPr>
        <w:pStyle w:val="Listeavsnitt"/>
        <w:numPr>
          <w:ilvl w:val="0"/>
          <w:numId w:val="8"/>
        </w:numPr>
        <w:rPr>
          <w:rFonts w:cstheme="minorHAnsi"/>
          <w:i/>
          <w:iCs/>
          <w:color w:val="A6A6A6" w:themeColor="background1" w:themeShade="A6"/>
          <w:szCs w:val="26"/>
        </w:rPr>
      </w:pPr>
      <w:r w:rsidRPr="00F75620">
        <w:rPr>
          <w:i/>
          <w:iCs/>
          <w:color w:val="A6A6A6" w:themeColor="background1" w:themeShade="A6"/>
          <w:szCs w:val="26"/>
        </w:rPr>
        <w:t>type of fuel to be used;</w:t>
      </w:r>
    </w:p>
    <w:p w14:paraId="6F9FF0E9" w14:textId="6924663E" w:rsidR="00271B4E" w:rsidRPr="00F75620" w:rsidRDefault="00982913" w:rsidP="00521527">
      <w:pPr>
        <w:pStyle w:val="Listeavsnitt"/>
        <w:numPr>
          <w:ilvl w:val="0"/>
          <w:numId w:val="8"/>
        </w:numPr>
        <w:rPr>
          <w:rFonts w:cstheme="minorHAnsi"/>
          <w:i/>
          <w:iCs/>
          <w:color w:val="A6A6A6" w:themeColor="background1" w:themeShade="A6"/>
          <w:szCs w:val="26"/>
        </w:rPr>
      </w:pPr>
      <w:r w:rsidRPr="00F75620">
        <w:rPr>
          <w:i/>
          <w:iCs/>
          <w:color w:val="A6A6A6" w:themeColor="background1" w:themeShade="A6"/>
          <w:szCs w:val="26"/>
        </w:rPr>
        <w:t>available cleaning systems for emissions to air and discharges to sea to be used;</w:t>
      </w:r>
    </w:p>
    <w:p w14:paraId="774230EC" w14:textId="5957E6E5" w:rsidR="008B6420" w:rsidRPr="00F75620" w:rsidRDefault="00915CAB" w:rsidP="00521527">
      <w:pPr>
        <w:pStyle w:val="Listeavsnitt"/>
        <w:numPr>
          <w:ilvl w:val="0"/>
          <w:numId w:val="8"/>
        </w:numPr>
        <w:rPr>
          <w:rFonts w:cstheme="minorHAnsi"/>
          <w:i/>
          <w:iCs/>
          <w:color w:val="A6A6A6" w:themeColor="background1" w:themeShade="A6"/>
          <w:szCs w:val="26"/>
        </w:rPr>
      </w:pPr>
      <w:r w:rsidRPr="00F75620">
        <w:rPr>
          <w:i/>
          <w:iCs/>
          <w:color w:val="A6A6A6" w:themeColor="background1" w:themeShade="A6"/>
          <w:szCs w:val="26"/>
        </w:rPr>
        <w:t xml:space="preserve">operational and technical measures for reduction of visible smoke; </w:t>
      </w:r>
    </w:p>
    <w:p w14:paraId="5F03E060" w14:textId="3A16AE60" w:rsidR="00271B4E" w:rsidRPr="00F75620" w:rsidRDefault="00915CAB" w:rsidP="00521527">
      <w:pPr>
        <w:pStyle w:val="Listeavsnitt"/>
        <w:numPr>
          <w:ilvl w:val="0"/>
          <w:numId w:val="8"/>
        </w:numPr>
        <w:rPr>
          <w:rFonts w:cstheme="minorHAnsi"/>
          <w:i/>
          <w:iCs/>
          <w:color w:val="A6A6A6" w:themeColor="background1" w:themeShade="A6"/>
          <w:szCs w:val="26"/>
        </w:rPr>
      </w:pPr>
      <w:r w:rsidRPr="00F75620">
        <w:rPr>
          <w:i/>
          <w:iCs/>
          <w:color w:val="A6A6A6" w:themeColor="background1" w:themeShade="A6"/>
          <w:szCs w:val="26"/>
        </w:rPr>
        <w:t>operational and technical measures for reduction of particle matter emissions;</w:t>
      </w:r>
    </w:p>
    <w:p w14:paraId="32C39A3E" w14:textId="36E83C66" w:rsidR="00271B4E" w:rsidRPr="00F75620" w:rsidRDefault="00271B4E" w:rsidP="00521527">
      <w:pPr>
        <w:pStyle w:val="Listeavsnitt"/>
        <w:numPr>
          <w:ilvl w:val="0"/>
          <w:numId w:val="8"/>
        </w:numPr>
        <w:rPr>
          <w:rFonts w:cstheme="minorHAnsi"/>
          <w:i/>
          <w:iCs/>
          <w:color w:val="A6A6A6" w:themeColor="background1" w:themeShade="A6"/>
          <w:szCs w:val="26"/>
        </w:rPr>
      </w:pPr>
      <w:r w:rsidRPr="00F75620">
        <w:rPr>
          <w:i/>
          <w:iCs/>
          <w:color w:val="A6A6A6" w:themeColor="background1" w:themeShade="A6"/>
          <w:szCs w:val="26"/>
        </w:rPr>
        <w:t>load distribution on generator sets when sailing in and out of the fjords;</w:t>
      </w:r>
    </w:p>
    <w:p w14:paraId="15010E6C" w14:textId="5B55D580" w:rsidR="00271B4E" w:rsidRPr="00F75620" w:rsidRDefault="00982913" w:rsidP="00521527">
      <w:pPr>
        <w:pStyle w:val="Listeavsnitt"/>
        <w:numPr>
          <w:ilvl w:val="0"/>
          <w:numId w:val="8"/>
        </w:numPr>
        <w:rPr>
          <w:rFonts w:cstheme="minorHAnsi"/>
          <w:i/>
          <w:iCs/>
          <w:color w:val="A6A6A6" w:themeColor="background1" w:themeShade="A6"/>
          <w:szCs w:val="26"/>
        </w:rPr>
      </w:pPr>
      <w:r w:rsidRPr="00F75620">
        <w:rPr>
          <w:i/>
          <w:iCs/>
          <w:color w:val="A6A6A6" w:themeColor="background1" w:themeShade="A6"/>
          <w:szCs w:val="26"/>
        </w:rPr>
        <w:t>plan for warming up machinery prior to departure.</w:t>
      </w:r>
    </w:p>
    <w:p w14:paraId="7517A11E" w14:textId="76E2CEE0" w:rsidR="00B634EC" w:rsidRDefault="00B634EC" w:rsidP="00521527">
      <w:pPr>
        <w:pStyle w:val="Listeavsnitt"/>
        <w:rPr>
          <w:rFonts w:cstheme="minorHAnsi"/>
          <w:i/>
          <w:iCs/>
          <w:szCs w:val="26"/>
        </w:rPr>
      </w:pPr>
    </w:p>
    <w:p w14:paraId="6DABE7A6" w14:textId="0DB15C4C" w:rsidR="00CC1020" w:rsidRDefault="00F75620" w:rsidP="007F66F4">
      <w:pPr>
        <w:ind w:firstLine="425"/>
        <w:rPr>
          <w:rFonts w:cstheme="minorHAnsi"/>
          <w:iCs/>
          <w:szCs w:val="26"/>
        </w:rPr>
      </w:pPr>
      <w:r w:rsidRPr="00F75620">
        <w:rPr>
          <w:rFonts w:cstheme="minorHAnsi"/>
          <w:iCs/>
          <w:szCs w:val="26"/>
        </w:rPr>
        <w:t xml:space="preserve">New section 14 e should be read: </w:t>
      </w:r>
    </w:p>
    <w:p w14:paraId="43EF4E4A" w14:textId="77777777" w:rsidR="00DD5F67" w:rsidRPr="00DD5F67" w:rsidRDefault="00DD5F67" w:rsidP="00DD5F67">
      <w:pPr>
        <w:spacing w:after="0"/>
        <w:ind w:left="425"/>
        <w:rPr>
          <w:rFonts w:cstheme="minorHAnsi"/>
          <w:i/>
          <w:iCs/>
          <w:szCs w:val="26"/>
        </w:rPr>
      </w:pPr>
      <w:r w:rsidRPr="00DD5F67">
        <w:rPr>
          <w:rFonts w:cstheme="minorHAnsi"/>
          <w:iCs/>
          <w:szCs w:val="26"/>
        </w:rPr>
        <w:t xml:space="preserve">Section 14e   </w:t>
      </w:r>
      <w:r w:rsidRPr="00DD5F67">
        <w:rPr>
          <w:rFonts w:cstheme="minorHAnsi"/>
          <w:i/>
          <w:iCs/>
          <w:szCs w:val="26"/>
        </w:rPr>
        <w:t>Special rules regarding incineration of waste on board ships in the world heritage fjords</w:t>
      </w:r>
    </w:p>
    <w:p w14:paraId="6DB4993A" w14:textId="4E9B4BE4" w:rsidR="00DD5F67" w:rsidRPr="00F75620" w:rsidRDefault="00DD5F67" w:rsidP="00DD5F67">
      <w:pPr>
        <w:spacing w:after="0"/>
        <w:ind w:left="425"/>
        <w:rPr>
          <w:rFonts w:cstheme="minorHAnsi"/>
          <w:iCs/>
          <w:szCs w:val="26"/>
        </w:rPr>
      </w:pPr>
      <w:r w:rsidRPr="00DD5F67">
        <w:rPr>
          <w:rFonts w:cstheme="minorHAnsi"/>
          <w:i/>
          <w:iCs/>
          <w:szCs w:val="26"/>
        </w:rPr>
        <w:t xml:space="preserve">   In the world heritage fjords, incineration of waste on board is prohibited</w:t>
      </w:r>
      <w:r w:rsidRPr="00DD5F67">
        <w:rPr>
          <w:rFonts w:cstheme="minorHAnsi"/>
          <w:iCs/>
          <w:szCs w:val="26"/>
        </w:rPr>
        <w:t>.</w:t>
      </w:r>
    </w:p>
    <w:p w14:paraId="692CE732" w14:textId="77777777" w:rsidR="00CC1020" w:rsidRDefault="00CC1020" w:rsidP="00DD5F67">
      <w:pPr>
        <w:pStyle w:val="Listeavsnitt"/>
        <w:spacing w:after="0"/>
        <w:rPr>
          <w:rFonts w:cstheme="minorHAnsi"/>
          <w:i/>
          <w:iCs/>
          <w:szCs w:val="26"/>
        </w:rPr>
      </w:pPr>
    </w:p>
    <w:p w14:paraId="58F27760" w14:textId="77777777" w:rsidR="00F75620" w:rsidRDefault="00F75620" w:rsidP="00DD5F67">
      <w:pPr>
        <w:pStyle w:val="Listeavsnitt"/>
        <w:spacing w:after="0"/>
        <w:rPr>
          <w:rFonts w:cstheme="minorHAnsi"/>
          <w:i/>
          <w:iCs/>
          <w:szCs w:val="26"/>
        </w:rPr>
      </w:pPr>
    </w:p>
    <w:p w14:paraId="68DA716B" w14:textId="77777777" w:rsidR="00F75620" w:rsidRPr="00521527" w:rsidRDefault="00F75620" w:rsidP="00521527">
      <w:pPr>
        <w:pStyle w:val="Listeavsnitt"/>
        <w:rPr>
          <w:rFonts w:cstheme="minorHAnsi"/>
          <w:i/>
          <w:iCs/>
          <w:szCs w:val="26"/>
        </w:rPr>
      </w:pPr>
    </w:p>
    <w:p w14:paraId="67B75C33" w14:textId="19C12FE5" w:rsidR="0024462E" w:rsidRPr="00521527" w:rsidRDefault="009274D8" w:rsidP="00C96A3F">
      <w:pPr>
        <w:jc w:val="center"/>
        <w:rPr>
          <w:rFonts w:cstheme="minorHAnsi"/>
          <w:b/>
        </w:rPr>
      </w:pPr>
      <w:r>
        <w:rPr>
          <w:b/>
        </w:rPr>
        <w:t>II</w:t>
      </w:r>
    </w:p>
    <w:p w14:paraId="70E9E9E0" w14:textId="77777777" w:rsidR="008212A1" w:rsidRPr="008A115D" w:rsidRDefault="008212A1">
      <w:pPr>
        <w:rPr>
          <w:rFonts w:cstheme="minorHAnsi"/>
          <w:b/>
        </w:rPr>
      </w:pPr>
    </w:p>
    <w:p w14:paraId="6EDBE89A" w14:textId="79AA4273" w:rsidR="00124F82" w:rsidRDefault="00124F82">
      <w:r>
        <w:t>The Regulatio</w:t>
      </w:r>
      <w:r w:rsidR="003571E7">
        <w:t>n enters into force on xx.xx</w:t>
      </w:r>
      <w:bookmarkStart w:id="26" w:name="_GoBack"/>
      <w:bookmarkEnd w:id="26"/>
      <w:r>
        <w:t xml:space="preserve"> 2019.</w:t>
      </w:r>
    </w:p>
    <w:sectPr w:rsidR="00124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46C"/>
    <w:multiLevelType w:val="hybridMultilevel"/>
    <w:tmpl w:val="23D86EC8"/>
    <w:lvl w:ilvl="0" w:tplc="E1FE8F76">
      <w:numFmt w:val="bullet"/>
      <w:lvlText w:val=""/>
      <w:lvlJc w:val="left"/>
      <w:pPr>
        <w:ind w:left="405" w:hanging="360"/>
      </w:pPr>
      <w:rPr>
        <w:rFonts w:ascii="Symbol" w:eastAsiaTheme="minorHAnsi" w:hAnsi="Symbol"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226D5679"/>
    <w:multiLevelType w:val="hybridMultilevel"/>
    <w:tmpl w:val="0DA82E2C"/>
    <w:lvl w:ilvl="0" w:tplc="A2F8B1E4">
      <w:numFmt w:val="bullet"/>
      <w:lvlText w:val="-"/>
      <w:lvlJc w:val="left"/>
      <w:pPr>
        <w:ind w:left="765" w:hanging="360"/>
      </w:pPr>
      <w:rPr>
        <w:rFonts w:ascii="Calibri" w:eastAsiaTheme="minorHAnsi" w:hAnsi="Calibri" w:cs="Calibr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28CB372B"/>
    <w:multiLevelType w:val="hybridMultilevel"/>
    <w:tmpl w:val="31842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83C88"/>
    <w:multiLevelType w:val="hybridMultilevel"/>
    <w:tmpl w:val="327AC052"/>
    <w:lvl w:ilvl="0" w:tplc="90D856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18420F8"/>
    <w:multiLevelType w:val="hybridMultilevel"/>
    <w:tmpl w:val="09D0C536"/>
    <w:lvl w:ilvl="0" w:tplc="2884A94A">
      <w:start w:val="1"/>
      <w:numFmt w:val="lowerLetter"/>
      <w:lvlText w:val="%1)"/>
      <w:lvlJc w:val="left"/>
      <w:pPr>
        <w:ind w:left="1068" w:hanging="360"/>
      </w:pPr>
      <w:rPr>
        <w:rFonts w:eastAsiaTheme="minorHAnsi" w:cstheme="minorBid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48313A98"/>
    <w:multiLevelType w:val="hybridMultilevel"/>
    <w:tmpl w:val="0CFCA0D4"/>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5FB91933"/>
    <w:multiLevelType w:val="hybridMultilevel"/>
    <w:tmpl w:val="BCC0980C"/>
    <w:lvl w:ilvl="0" w:tplc="BD504404">
      <w:start w:val="1"/>
      <w:numFmt w:val="lowerLetter"/>
      <w:lvlText w:val="%1)"/>
      <w:lvlJc w:val="left"/>
      <w:pPr>
        <w:ind w:left="850" w:hanging="360"/>
      </w:pPr>
      <w:rPr>
        <w:rFonts w:hint="default"/>
      </w:rPr>
    </w:lvl>
    <w:lvl w:ilvl="1" w:tplc="04140019" w:tentative="1">
      <w:start w:val="1"/>
      <w:numFmt w:val="lowerLetter"/>
      <w:lvlText w:val="%2."/>
      <w:lvlJc w:val="left"/>
      <w:pPr>
        <w:ind w:left="1570" w:hanging="360"/>
      </w:pPr>
    </w:lvl>
    <w:lvl w:ilvl="2" w:tplc="0414001B" w:tentative="1">
      <w:start w:val="1"/>
      <w:numFmt w:val="lowerRoman"/>
      <w:lvlText w:val="%3."/>
      <w:lvlJc w:val="right"/>
      <w:pPr>
        <w:ind w:left="2290" w:hanging="180"/>
      </w:pPr>
    </w:lvl>
    <w:lvl w:ilvl="3" w:tplc="0414000F" w:tentative="1">
      <w:start w:val="1"/>
      <w:numFmt w:val="decimal"/>
      <w:lvlText w:val="%4."/>
      <w:lvlJc w:val="left"/>
      <w:pPr>
        <w:ind w:left="3010" w:hanging="360"/>
      </w:pPr>
    </w:lvl>
    <w:lvl w:ilvl="4" w:tplc="04140019" w:tentative="1">
      <w:start w:val="1"/>
      <w:numFmt w:val="lowerLetter"/>
      <w:lvlText w:val="%5."/>
      <w:lvlJc w:val="left"/>
      <w:pPr>
        <w:ind w:left="3730" w:hanging="360"/>
      </w:pPr>
    </w:lvl>
    <w:lvl w:ilvl="5" w:tplc="0414001B" w:tentative="1">
      <w:start w:val="1"/>
      <w:numFmt w:val="lowerRoman"/>
      <w:lvlText w:val="%6."/>
      <w:lvlJc w:val="right"/>
      <w:pPr>
        <w:ind w:left="4450" w:hanging="180"/>
      </w:pPr>
    </w:lvl>
    <w:lvl w:ilvl="6" w:tplc="0414000F" w:tentative="1">
      <w:start w:val="1"/>
      <w:numFmt w:val="decimal"/>
      <w:lvlText w:val="%7."/>
      <w:lvlJc w:val="left"/>
      <w:pPr>
        <w:ind w:left="5170" w:hanging="360"/>
      </w:pPr>
    </w:lvl>
    <w:lvl w:ilvl="7" w:tplc="04140019" w:tentative="1">
      <w:start w:val="1"/>
      <w:numFmt w:val="lowerLetter"/>
      <w:lvlText w:val="%8."/>
      <w:lvlJc w:val="left"/>
      <w:pPr>
        <w:ind w:left="5890" w:hanging="360"/>
      </w:pPr>
    </w:lvl>
    <w:lvl w:ilvl="8" w:tplc="0414001B" w:tentative="1">
      <w:start w:val="1"/>
      <w:numFmt w:val="lowerRoman"/>
      <w:lvlText w:val="%9."/>
      <w:lvlJc w:val="right"/>
      <w:pPr>
        <w:ind w:left="6610" w:hanging="180"/>
      </w:pPr>
    </w:lvl>
  </w:abstractNum>
  <w:abstractNum w:abstractNumId="7" w15:restartNumberingAfterBreak="0">
    <w:nsid w:val="66615FFD"/>
    <w:multiLevelType w:val="hybridMultilevel"/>
    <w:tmpl w:val="E7345646"/>
    <w:lvl w:ilvl="0" w:tplc="0AB290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3CA54FE"/>
    <w:multiLevelType w:val="hybridMultilevel"/>
    <w:tmpl w:val="C6A2CA1E"/>
    <w:lvl w:ilvl="0" w:tplc="04140017">
      <w:start w:val="1"/>
      <w:numFmt w:val="lowerLetter"/>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1"/>
    <w:rsid w:val="00020527"/>
    <w:rsid w:val="00052E0C"/>
    <w:rsid w:val="00060E68"/>
    <w:rsid w:val="000760B5"/>
    <w:rsid w:val="000D68F6"/>
    <w:rsid w:val="000D7A3F"/>
    <w:rsid w:val="000E0168"/>
    <w:rsid w:val="000E4F45"/>
    <w:rsid w:val="000F4FC6"/>
    <w:rsid w:val="001004AD"/>
    <w:rsid w:val="001025CF"/>
    <w:rsid w:val="00102A64"/>
    <w:rsid w:val="00110A8E"/>
    <w:rsid w:val="00110FA3"/>
    <w:rsid w:val="0011255D"/>
    <w:rsid w:val="001126D7"/>
    <w:rsid w:val="0011443A"/>
    <w:rsid w:val="00114A11"/>
    <w:rsid w:val="00124F82"/>
    <w:rsid w:val="00126DD2"/>
    <w:rsid w:val="00130474"/>
    <w:rsid w:val="00143B98"/>
    <w:rsid w:val="00151A8E"/>
    <w:rsid w:val="00157C14"/>
    <w:rsid w:val="00161005"/>
    <w:rsid w:val="0016302A"/>
    <w:rsid w:val="001644E5"/>
    <w:rsid w:val="00167F04"/>
    <w:rsid w:val="00170CC3"/>
    <w:rsid w:val="00171378"/>
    <w:rsid w:val="001728F4"/>
    <w:rsid w:val="0017413C"/>
    <w:rsid w:val="00185AEA"/>
    <w:rsid w:val="001C2AB4"/>
    <w:rsid w:val="001C543E"/>
    <w:rsid w:val="001C5509"/>
    <w:rsid w:val="001F6A1E"/>
    <w:rsid w:val="00202343"/>
    <w:rsid w:val="00224223"/>
    <w:rsid w:val="002345BA"/>
    <w:rsid w:val="002422E2"/>
    <w:rsid w:val="002431D9"/>
    <w:rsid w:val="0024462E"/>
    <w:rsid w:val="00250AB8"/>
    <w:rsid w:val="00253873"/>
    <w:rsid w:val="00261C58"/>
    <w:rsid w:val="00271B4E"/>
    <w:rsid w:val="00274E31"/>
    <w:rsid w:val="0029347B"/>
    <w:rsid w:val="002934CB"/>
    <w:rsid w:val="002A7D0E"/>
    <w:rsid w:val="002B62C7"/>
    <w:rsid w:val="002C355B"/>
    <w:rsid w:val="002D3E0E"/>
    <w:rsid w:val="002E04B7"/>
    <w:rsid w:val="002E5B8F"/>
    <w:rsid w:val="00303F6F"/>
    <w:rsid w:val="003077BE"/>
    <w:rsid w:val="00321386"/>
    <w:rsid w:val="003242DF"/>
    <w:rsid w:val="0034514E"/>
    <w:rsid w:val="003571E7"/>
    <w:rsid w:val="0036023D"/>
    <w:rsid w:val="0036460D"/>
    <w:rsid w:val="00364C62"/>
    <w:rsid w:val="003976B7"/>
    <w:rsid w:val="003B6F14"/>
    <w:rsid w:val="003C601B"/>
    <w:rsid w:val="003D2B98"/>
    <w:rsid w:val="003F2B55"/>
    <w:rsid w:val="00412D06"/>
    <w:rsid w:val="00430239"/>
    <w:rsid w:val="004448CB"/>
    <w:rsid w:val="00446FAC"/>
    <w:rsid w:val="004618EC"/>
    <w:rsid w:val="00462094"/>
    <w:rsid w:val="00464603"/>
    <w:rsid w:val="00464AF2"/>
    <w:rsid w:val="00464F9E"/>
    <w:rsid w:val="00483EDC"/>
    <w:rsid w:val="004842E4"/>
    <w:rsid w:val="00486B4B"/>
    <w:rsid w:val="00491948"/>
    <w:rsid w:val="00492821"/>
    <w:rsid w:val="004A11D4"/>
    <w:rsid w:val="004A77E8"/>
    <w:rsid w:val="004B2670"/>
    <w:rsid w:val="004C311D"/>
    <w:rsid w:val="004C6847"/>
    <w:rsid w:val="004D0A88"/>
    <w:rsid w:val="004D10DC"/>
    <w:rsid w:val="004D2CBC"/>
    <w:rsid w:val="004D32C4"/>
    <w:rsid w:val="004E2398"/>
    <w:rsid w:val="004F1095"/>
    <w:rsid w:val="00503B81"/>
    <w:rsid w:val="00503C06"/>
    <w:rsid w:val="00504B97"/>
    <w:rsid w:val="00521527"/>
    <w:rsid w:val="00524941"/>
    <w:rsid w:val="005321FA"/>
    <w:rsid w:val="0053551C"/>
    <w:rsid w:val="00535554"/>
    <w:rsid w:val="00547FC2"/>
    <w:rsid w:val="0055770D"/>
    <w:rsid w:val="005667AB"/>
    <w:rsid w:val="005734B2"/>
    <w:rsid w:val="005854B7"/>
    <w:rsid w:val="005A3A70"/>
    <w:rsid w:val="005A4930"/>
    <w:rsid w:val="005A5AD6"/>
    <w:rsid w:val="005B09EB"/>
    <w:rsid w:val="005B2C11"/>
    <w:rsid w:val="005B6118"/>
    <w:rsid w:val="005D2275"/>
    <w:rsid w:val="005F5A17"/>
    <w:rsid w:val="005F79CA"/>
    <w:rsid w:val="0060103D"/>
    <w:rsid w:val="0060174F"/>
    <w:rsid w:val="00602187"/>
    <w:rsid w:val="00604634"/>
    <w:rsid w:val="00616D8A"/>
    <w:rsid w:val="00655B04"/>
    <w:rsid w:val="006562D1"/>
    <w:rsid w:val="0065651F"/>
    <w:rsid w:val="00664E33"/>
    <w:rsid w:val="00674759"/>
    <w:rsid w:val="006779DA"/>
    <w:rsid w:val="006826F8"/>
    <w:rsid w:val="00686E22"/>
    <w:rsid w:val="00687DF7"/>
    <w:rsid w:val="00687F31"/>
    <w:rsid w:val="00693534"/>
    <w:rsid w:val="006963E8"/>
    <w:rsid w:val="006A1F94"/>
    <w:rsid w:val="006A22AC"/>
    <w:rsid w:val="006A5DE7"/>
    <w:rsid w:val="006A63CB"/>
    <w:rsid w:val="006C0AB4"/>
    <w:rsid w:val="006C4AD9"/>
    <w:rsid w:val="006D128E"/>
    <w:rsid w:val="006D3994"/>
    <w:rsid w:val="006E057A"/>
    <w:rsid w:val="00710251"/>
    <w:rsid w:val="00722E06"/>
    <w:rsid w:val="00731064"/>
    <w:rsid w:val="00735303"/>
    <w:rsid w:val="00741FE0"/>
    <w:rsid w:val="00742401"/>
    <w:rsid w:val="00746392"/>
    <w:rsid w:val="00747183"/>
    <w:rsid w:val="00755496"/>
    <w:rsid w:val="00757F23"/>
    <w:rsid w:val="007644AE"/>
    <w:rsid w:val="00767505"/>
    <w:rsid w:val="007679F7"/>
    <w:rsid w:val="00772177"/>
    <w:rsid w:val="0077319C"/>
    <w:rsid w:val="007827BD"/>
    <w:rsid w:val="00796A98"/>
    <w:rsid w:val="007A1D93"/>
    <w:rsid w:val="007A34A1"/>
    <w:rsid w:val="007A38E1"/>
    <w:rsid w:val="007A6849"/>
    <w:rsid w:val="007B5B08"/>
    <w:rsid w:val="007C55FD"/>
    <w:rsid w:val="007D0A12"/>
    <w:rsid w:val="007D3847"/>
    <w:rsid w:val="007E16FA"/>
    <w:rsid w:val="007F5597"/>
    <w:rsid w:val="007F66F4"/>
    <w:rsid w:val="007F6A7A"/>
    <w:rsid w:val="0080077A"/>
    <w:rsid w:val="00807CD5"/>
    <w:rsid w:val="00813328"/>
    <w:rsid w:val="0081626B"/>
    <w:rsid w:val="00821116"/>
    <w:rsid w:val="008212A1"/>
    <w:rsid w:val="008324CD"/>
    <w:rsid w:val="00834849"/>
    <w:rsid w:val="00855194"/>
    <w:rsid w:val="0087438B"/>
    <w:rsid w:val="008808B4"/>
    <w:rsid w:val="00882525"/>
    <w:rsid w:val="008838B9"/>
    <w:rsid w:val="00886A32"/>
    <w:rsid w:val="008A115D"/>
    <w:rsid w:val="008B1666"/>
    <w:rsid w:val="008B2205"/>
    <w:rsid w:val="008B280B"/>
    <w:rsid w:val="008B6420"/>
    <w:rsid w:val="008D0BA6"/>
    <w:rsid w:val="008E0D51"/>
    <w:rsid w:val="008E202B"/>
    <w:rsid w:val="008F77D9"/>
    <w:rsid w:val="0091345F"/>
    <w:rsid w:val="00915CAB"/>
    <w:rsid w:val="009165E6"/>
    <w:rsid w:val="009274D8"/>
    <w:rsid w:val="00947248"/>
    <w:rsid w:val="00947299"/>
    <w:rsid w:val="00950F35"/>
    <w:rsid w:val="00953821"/>
    <w:rsid w:val="00960914"/>
    <w:rsid w:val="00960A25"/>
    <w:rsid w:val="0096693F"/>
    <w:rsid w:val="009671D0"/>
    <w:rsid w:val="009770F4"/>
    <w:rsid w:val="00981860"/>
    <w:rsid w:val="00982913"/>
    <w:rsid w:val="009B4B2E"/>
    <w:rsid w:val="009B5BDE"/>
    <w:rsid w:val="009C1BA3"/>
    <w:rsid w:val="009C7B95"/>
    <w:rsid w:val="009D251D"/>
    <w:rsid w:val="009D4850"/>
    <w:rsid w:val="009D77D7"/>
    <w:rsid w:val="009E4E6E"/>
    <w:rsid w:val="009E7B79"/>
    <w:rsid w:val="009F3357"/>
    <w:rsid w:val="009F4614"/>
    <w:rsid w:val="00A04BF9"/>
    <w:rsid w:val="00A34BEF"/>
    <w:rsid w:val="00A35C87"/>
    <w:rsid w:val="00A561B4"/>
    <w:rsid w:val="00A57C6A"/>
    <w:rsid w:val="00A601F3"/>
    <w:rsid w:val="00A63FCB"/>
    <w:rsid w:val="00A84752"/>
    <w:rsid w:val="00A91D7A"/>
    <w:rsid w:val="00A923EE"/>
    <w:rsid w:val="00A93542"/>
    <w:rsid w:val="00AB5AE0"/>
    <w:rsid w:val="00AB6153"/>
    <w:rsid w:val="00AC5A10"/>
    <w:rsid w:val="00AD3A10"/>
    <w:rsid w:val="00AE3357"/>
    <w:rsid w:val="00AF5979"/>
    <w:rsid w:val="00AF5AD2"/>
    <w:rsid w:val="00AF768E"/>
    <w:rsid w:val="00B05A99"/>
    <w:rsid w:val="00B17F06"/>
    <w:rsid w:val="00B258F1"/>
    <w:rsid w:val="00B42EDE"/>
    <w:rsid w:val="00B464C5"/>
    <w:rsid w:val="00B511B0"/>
    <w:rsid w:val="00B6057B"/>
    <w:rsid w:val="00B634EC"/>
    <w:rsid w:val="00B65236"/>
    <w:rsid w:val="00B86AFC"/>
    <w:rsid w:val="00B92564"/>
    <w:rsid w:val="00BA5042"/>
    <w:rsid w:val="00BB1C7B"/>
    <w:rsid w:val="00BB583D"/>
    <w:rsid w:val="00BB72A9"/>
    <w:rsid w:val="00BE40B5"/>
    <w:rsid w:val="00BE4649"/>
    <w:rsid w:val="00BF4FFB"/>
    <w:rsid w:val="00C10C63"/>
    <w:rsid w:val="00C149AF"/>
    <w:rsid w:val="00C20446"/>
    <w:rsid w:val="00C4105C"/>
    <w:rsid w:val="00C50E05"/>
    <w:rsid w:val="00C527E0"/>
    <w:rsid w:val="00C5740D"/>
    <w:rsid w:val="00C6643A"/>
    <w:rsid w:val="00C66D7A"/>
    <w:rsid w:val="00C87747"/>
    <w:rsid w:val="00C951B1"/>
    <w:rsid w:val="00C96A3F"/>
    <w:rsid w:val="00CA0934"/>
    <w:rsid w:val="00CA4CEE"/>
    <w:rsid w:val="00CB239A"/>
    <w:rsid w:val="00CB3B6B"/>
    <w:rsid w:val="00CC1020"/>
    <w:rsid w:val="00CD0199"/>
    <w:rsid w:val="00CD105E"/>
    <w:rsid w:val="00CD20BA"/>
    <w:rsid w:val="00CD4D88"/>
    <w:rsid w:val="00CF0C13"/>
    <w:rsid w:val="00CF2D25"/>
    <w:rsid w:val="00CF3D47"/>
    <w:rsid w:val="00D0663B"/>
    <w:rsid w:val="00D07A64"/>
    <w:rsid w:val="00D155C6"/>
    <w:rsid w:val="00D26A61"/>
    <w:rsid w:val="00D310D6"/>
    <w:rsid w:val="00D328D5"/>
    <w:rsid w:val="00D6011B"/>
    <w:rsid w:val="00D704B3"/>
    <w:rsid w:val="00D7529F"/>
    <w:rsid w:val="00D77BCA"/>
    <w:rsid w:val="00D856EF"/>
    <w:rsid w:val="00D85A65"/>
    <w:rsid w:val="00D92B91"/>
    <w:rsid w:val="00D954CF"/>
    <w:rsid w:val="00D95EB3"/>
    <w:rsid w:val="00DA664F"/>
    <w:rsid w:val="00DA6842"/>
    <w:rsid w:val="00DB42BF"/>
    <w:rsid w:val="00DD11C1"/>
    <w:rsid w:val="00DD5F67"/>
    <w:rsid w:val="00DE2C84"/>
    <w:rsid w:val="00DF534B"/>
    <w:rsid w:val="00DF5D21"/>
    <w:rsid w:val="00E058AE"/>
    <w:rsid w:val="00E132A0"/>
    <w:rsid w:val="00E138BD"/>
    <w:rsid w:val="00E14F4F"/>
    <w:rsid w:val="00E3054E"/>
    <w:rsid w:val="00E31E39"/>
    <w:rsid w:val="00E41D46"/>
    <w:rsid w:val="00E528E0"/>
    <w:rsid w:val="00E667E2"/>
    <w:rsid w:val="00E66A1B"/>
    <w:rsid w:val="00E72B8F"/>
    <w:rsid w:val="00E80EA2"/>
    <w:rsid w:val="00E87AE7"/>
    <w:rsid w:val="00E92660"/>
    <w:rsid w:val="00E944E6"/>
    <w:rsid w:val="00E94CE4"/>
    <w:rsid w:val="00E977A4"/>
    <w:rsid w:val="00EA2147"/>
    <w:rsid w:val="00EA639C"/>
    <w:rsid w:val="00ED436B"/>
    <w:rsid w:val="00ED47B8"/>
    <w:rsid w:val="00ED7443"/>
    <w:rsid w:val="00EF2310"/>
    <w:rsid w:val="00EF24AA"/>
    <w:rsid w:val="00F05665"/>
    <w:rsid w:val="00F05709"/>
    <w:rsid w:val="00F21268"/>
    <w:rsid w:val="00F3693F"/>
    <w:rsid w:val="00F3797F"/>
    <w:rsid w:val="00F4349D"/>
    <w:rsid w:val="00F53E88"/>
    <w:rsid w:val="00F56DB4"/>
    <w:rsid w:val="00F75620"/>
    <w:rsid w:val="00F82ADC"/>
    <w:rsid w:val="00F90293"/>
    <w:rsid w:val="00F94017"/>
    <w:rsid w:val="00F957F6"/>
    <w:rsid w:val="00F97E8D"/>
    <w:rsid w:val="00FA35E3"/>
    <w:rsid w:val="00FA4243"/>
    <w:rsid w:val="00FB3443"/>
    <w:rsid w:val="00FB55C9"/>
    <w:rsid w:val="00FC1639"/>
    <w:rsid w:val="00FD1B99"/>
    <w:rsid w:val="00FE17D0"/>
    <w:rsid w:val="00FE30A4"/>
    <w:rsid w:val="00FF0BD1"/>
    <w:rsid w:val="5A09230B"/>
    <w:rsid w:val="5D9FC22C"/>
    <w:rsid w:val="61850BC3"/>
    <w:rsid w:val="6B4AD6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9DFA"/>
  <w15:chartTrackingRefBased/>
  <w15:docId w15:val="{CD20795C-638E-4549-B73D-01916B0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
    <w:name w:val="highlight"/>
    <w:basedOn w:val="Standardskriftforavsnitt"/>
    <w:rsid w:val="008212A1"/>
  </w:style>
  <w:style w:type="character" w:styleId="Merknadsreferanse">
    <w:name w:val="annotation reference"/>
    <w:basedOn w:val="Standardskriftforavsnitt"/>
    <w:semiHidden/>
    <w:unhideWhenUsed/>
    <w:rsid w:val="0024462E"/>
    <w:rPr>
      <w:sz w:val="16"/>
      <w:szCs w:val="16"/>
    </w:rPr>
  </w:style>
  <w:style w:type="paragraph" w:styleId="Merknadstekst">
    <w:name w:val="annotation text"/>
    <w:basedOn w:val="Normal"/>
    <w:link w:val="MerknadstekstTegn"/>
    <w:semiHidden/>
    <w:unhideWhenUsed/>
    <w:rsid w:val="0024462E"/>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24462E"/>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2446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462E"/>
    <w:rPr>
      <w:rFonts w:ascii="Segoe UI" w:hAnsi="Segoe UI" w:cs="Segoe UI"/>
      <w:sz w:val="18"/>
      <w:szCs w:val="18"/>
    </w:rPr>
  </w:style>
  <w:style w:type="character" w:styleId="Utheving">
    <w:name w:val="Emphasis"/>
    <w:basedOn w:val="Standardskriftforavsnitt"/>
    <w:uiPriority w:val="20"/>
    <w:qFormat/>
    <w:rsid w:val="008B280B"/>
    <w:rPr>
      <w:i/>
      <w:iCs/>
    </w:rPr>
  </w:style>
  <w:style w:type="paragraph" w:styleId="Kommentaremne">
    <w:name w:val="annotation subject"/>
    <w:basedOn w:val="Merknadstekst"/>
    <w:next w:val="Merknadstekst"/>
    <w:link w:val="KommentaremneTegn"/>
    <w:uiPriority w:val="99"/>
    <w:semiHidden/>
    <w:unhideWhenUsed/>
    <w:rsid w:val="00185AEA"/>
    <w:pPr>
      <w:spacing w:after="16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185AEA"/>
    <w:rPr>
      <w:rFonts w:ascii="Times New Roman" w:eastAsia="Times New Roman" w:hAnsi="Times New Roman" w:cs="Times New Roman"/>
      <w:b/>
      <w:bCs/>
      <w:sz w:val="20"/>
      <w:szCs w:val="20"/>
      <w:lang w:eastAsia="nb-NO"/>
    </w:rPr>
  </w:style>
  <w:style w:type="paragraph" w:styleId="Listeavsnitt">
    <w:name w:val="List Paragraph"/>
    <w:basedOn w:val="Normal"/>
    <w:uiPriority w:val="34"/>
    <w:qFormat/>
    <w:rsid w:val="00B92564"/>
    <w:pPr>
      <w:ind w:left="720"/>
      <w:contextualSpacing/>
    </w:pPr>
  </w:style>
  <w:style w:type="character" w:styleId="Hyperkobling">
    <w:name w:val="Hyperlink"/>
    <w:basedOn w:val="Standardskriftforavsnitt"/>
    <w:uiPriority w:val="99"/>
    <w:unhideWhenUsed/>
    <w:rsid w:val="00B511B0"/>
    <w:rPr>
      <w:color w:val="0000FF"/>
      <w:u w:val="single"/>
    </w:rPr>
  </w:style>
  <w:style w:type="paragraph" w:customStyle="1" w:styleId="mortaga">
    <w:name w:val="mortag_a"/>
    <w:basedOn w:val="Normal"/>
    <w:rsid w:val="00B511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F4614"/>
    <w:rPr>
      <w:color w:val="954F72" w:themeColor="followedHyperlink"/>
      <w:u w:val="single"/>
    </w:rPr>
  </w:style>
  <w:style w:type="paragraph" w:styleId="Revisjon">
    <w:name w:val="Revision"/>
    <w:hidden/>
    <w:uiPriority w:val="99"/>
    <w:semiHidden/>
    <w:rsid w:val="00174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16">
      <w:bodyDiv w:val="1"/>
      <w:marLeft w:val="0"/>
      <w:marRight w:val="0"/>
      <w:marTop w:val="0"/>
      <w:marBottom w:val="0"/>
      <w:divBdr>
        <w:top w:val="none" w:sz="0" w:space="0" w:color="auto"/>
        <w:left w:val="none" w:sz="0" w:space="0" w:color="auto"/>
        <w:bottom w:val="none" w:sz="0" w:space="0" w:color="auto"/>
        <w:right w:val="none" w:sz="0" w:space="0" w:color="auto"/>
      </w:divBdr>
    </w:div>
    <w:div w:id="118382796">
      <w:bodyDiv w:val="1"/>
      <w:marLeft w:val="0"/>
      <w:marRight w:val="0"/>
      <w:marTop w:val="0"/>
      <w:marBottom w:val="0"/>
      <w:divBdr>
        <w:top w:val="none" w:sz="0" w:space="0" w:color="auto"/>
        <w:left w:val="none" w:sz="0" w:space="0" w:color="auto"/>
        <w:bottom w:val="none" w:sz="0" w:space="0" w:color="auto"/>
        <w:right w:val="none" w:sz="0" w:space="0" w:color="auto"/>
      </w:divBdr>
    </w:div>
    <w:div w:id="284967462">
      <w:bodyDiv w:val="1"/>
      <w:marLeft w:val="0"/>
      <w:marRight w:val="0"/>
      <w:marTop w:val="0"/>
      <w:marBottom w:val="0"/>
      <w:divBdr>
        <w:top w:val="none" w:sz="0" w:space="0" w:color="auto"/>
        <w:left w:val="none" w:sz="0" w:space="0" w:color="auto"/>
        <w:bottom w:val="none" w:sz="0" w:space="0" w:color="auto"/>
        <w:right w:val="none" w:sz="0" w:space="0" w:color="auto"/>
      </w:divBdr>
    </w:div>
    <w:div w:id="578177798">
      <w:bodyDiv w:val="1"/>
      <w:marLeft w:val="0"/>
      <w:marRight w:val="0"/>
      <w:marTop w:val="0"/>
      <w:marBottom w:val="0"/>
      <w:divBdr>
        <w:top w:val="none" w:sz="0" w:space="0" w:color="auto"/>
        <w:left w:val="none" w:sz="0" w:space="0" w:color="auto"/>
        <w:bottom w:val="none" w:sz="0" w:space="0" w:color="auto"/>
        <w:right w:val="none" w:sz="0" w:space="0" w:color="auto"/>
      </w:divBdr>
    </w:div>
    <w:div w:id="596644588">
      <w:bodyDiv w:val="1"/>
      <w:marLeft w:val="0"/>
      <w:marRight w:val="0"/>
      <w:marTop w:val="0"/>
      <w:marBottom w:val="0"/>
      <w:divBdr>
        <w:top w:val="none" w:sz="0" w:space="0" w:color="auto"/>
        <w:left w:val="none" w:sz="0" w:space="0" w:color="auto"/>
        <w:bottom w:val="none" w:sz="0" w:space="0" w:color="auto"/>
        <w:right w:val="none" w:sz="0" w:space="0" w:color="auto"/>
      </w:divBdr>
    </w:div>
    <w:div w:id="599021243">
      <w:bodyDiv w:val="1"/>
      <w:marLeft w:val="0"/>
      <w:marRight w:val="0"/>
      <w:marTop w:val="0"/>
      <w:marBottom w:val="0"/>
      <w:divBdr>
        <w:top w:val="none" w:sz="0" w:space="0" w:color="auto"/>
        <w:left w:val="none" w:sz="0" w:space="0" w:color="auto"/>
        <w:bottom w:val="none" w:sz="0" w:space="0" w:color="auto"/>
        <w:right w:val="none" w:sz="0" w:space="0" w:color="auto"/>
      </w:divBdr>
    </w:div>
    <w:div w:id="1354842183">
      <w:bodyDiv w:val="1"/>
      <w:marLeft w:val="0"/>
      <w:marRight w:val="0"/>
      <w:marTop w:val="0"/>
      <w:marBottom w:val="0"/>
      <w:divBdr>
        <w:top w:val="none" w:sz="0" w:space="0" w:color="auto"/>
        <w:left w:val="none" w:sz="0" w:space="0" w:color="auto"/>
        <w:bottom w:val="none" w:sz="0" w:space="0" w:color="auto"/>
        <w:right w:val="none" w:sz="0" w:space="0" w:color="auto"/>
      </w:divBdr>
    </w:div>
    <w:div w:id="1490707456">
      <w:bodyDiv w:val="1"/>
      <w:marLeft w:val="0"/>
      <w:marRight w:val="0"/>
      <w:marTop w:val="0"/>
      <w:marBottom w:val="0"/>
      <w:divBdr>
        <w:top w:val="none" w:sz="0" w:space="0" w:color="auto"/>
        <w:left w:val="none" w:sz="0" w:space="0" w:color="auto"/>
        <w:bottom w:val="none" w:sz="0" w:space="0" w:color="auto"/>
        <w:right w:val="none" w:sz="0" w:space="0" w:color="auto"/>
      </w:divBdr>
    </w:div>
    <w:div w:id="1756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2ec8d3c-c12f-424c-926f-1f8ebca512fc" xsi:nil="true"/>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Regelverk og internasjonalt arbeid</TermName>
          <TermId xmlns="http://schemas.microsoft.com/office/infopath/2007/PartnerControls">579ac3cd-d96a-40dd-9ad3-ecdbcf004da7</TermId>
        </TermInfo>
      </Terms>
    </l6cda3eed2d14ea999d67a7bcceae600>
    <TaxCatchAll xmlns="1065ab05-f7f8-4724-b49f-1e8bf2acbb1d">
      <Value>75</Value>
      <Value>355</Value>
      <Value>43</Value>
    </TaxCatchAll>
    <TaxCatchAllLabel xmlns="1065ab05-f7f8-4724-b49f-1e8bf2acbb1d"/>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Høring</TermName>
          <TermId xmlns="http://schemas.microsoft.com/office/infopath/2007/PartnerControls">e062b00f-c052-4aac-9f03-003b4944cacc</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Rederi xmlns="3785b0a4-60ab-48f8-acaf-7715a7a45900" xsi:nil="true"/>
    <TaxKeywordTaxHTField xmlns="1065ab05-f7f8-4724-b49f-1e8bf2acbb1d">
      <Terms xmlns="http://schemas.microsoft.com/office/infopath/2007/PartnerControls"/>
    </TaxKeywordTaxHTField>
    <_dlc_DocId xmlns="f2ec8d3c-c12f-424c-926f-1f8ebca512fc">FJPNMAMED2PC-966705087-226</_dlc_DocId>
    <_dlc_DocIdUrl xmlns="f2ec8d3c-c12f-424c-926f-1f8ebca512fc">
      <Url>https://sps.sjofartsdir.no/prosjekter/verdensarvfjordene/_layouts/15/DocIdRedir.aspx?ID=FJPNMAMED2PC-966705087-226</Url>
      <Description>FJPNMAMED2PC-966705087-226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90C27E206E3C5B4D9CE18C9AE5F10B7F" ma:contentTypeVersion="209" ma:contentTypeDescription="Opprett et nytt dokument" ma:contentTypeScope="" ma:versionID="b3f2e80fe82757ac4835c351dff6d70e">
  <xsd:schema xmlns:xsd="http://www.w3.org/2001/XMLSchema" xmlns:xs="http://www.w3.org/2001/XMLSchema" xmlns:p="http://schemas.microsoft.com/office/2006/metadata/properties" xmlns:ns2="1065ab05-f7f8-4724-b49f-1e8bf2acbb1d" xmlns:ns3="f2ec8d3c-c12f-424c-926f-1f8ebca512fc" xmlns:ns4="3785b0a4-60ab-48f8-acaf-7715a7a45900" targetNamespace="http://schemas.microsoft.com/office/2006/metadata/properties" ma:root="true" ma:fieldsID="b9fa0fcccc65db319bdb054f23e8a787" ns2:_="" ns3:_="" ns4:_="">
    <xsd:import namespace="1065ab05-f7f8-4724-b49f-1e8bf2acbb1d"/>
    <xsd:import namespace="f2ec8d3c-c12f-424c-926f-1f8ebca512fc"/>
    <xsd:import namespace="3785b0a4-60ab-48f8-acaf-7715a7a45900"/>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element ref="ns4:Rede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readOnly="false"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fals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readOnly="false"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43;#Regelverk og internasjonalt arbeid|579ac3cd-d96a-40dd-9ad3-ecdbcf004da7"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5b0a4-60ab-48f8-acaf-7715a7a45900" elementFormDefault="qualified">
    <xsd:import namespace="http://schemas.microsoft.com/office/2006/documentManagement/types"/>
    <xsd:import namespace="http://schemas.microsoft.com/office/infopath/2007/PartnerControls"/>
    <xsd:element name="Rederi" ma:index="21" nillable="true" ma:displayName="Rederi" ma:list="{de9b800d-5734-421e-8071-86632daeae54}" ma:internalName="Rederi"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f595842-50c2-439a-8ba8-4650dfbf24bb" ContentTypeId="0x0101008ABC6F4325FBF146B7577C860B30D36001" PreviousValue="false"/>
</file>

<file path=customXml/itemProps1.xml><?xml version="1.0" encoding="utf-8"?>
<ds:datastoreItem xmlns:ds="http://schemas.openxmlformats.org/officeDocument/2006/customXml" ds:itemID="{2F7CB796-2438-4F4C-B2A7-23C8D91E4CF5}">
  <ds:schemaRefs>
    <ds:schemaRef ds:uri="http://schemas.microsoft.com/sharepoint/events"/>
  </ds:schemaRefs>
</ds:datastoreItem>
</file>

<file path=customXml/itemProps2.xml><?xml version="1.0" encoding="utf-8"?>
<ds:datastoreItem xmlns:ds="http://schemas.openxmlformats.org/officeDocument/2006/customXml" ds:itemID="{381B6A46-2D24-492E-95CB-60E2EAD2568B}">
  <ds:schemaRefs>
    <ds:schemaRef ds:uri="http://schemas.microsoft.com/sharepoint/v3/contenttype/forms"/>
  </ds:schemaRefs>
</ds:datastoreItem>
</file>

<file path=customXml/itemProps3.xml><?xml version="1.0" encoding="utf-8"?>
<ds:datastoreItem xmlns:ds="http://schemas.openxmlformats.org/officeDocument/2006/customXml" ds:itemID="{487AA530-0A13-444C-9468-F1BD37CD0AAD}">
  <ds:schemaRefs>
    <ds:schemaRef ds:uri="http://schemas.microsoft.com/office/2006/metadata/properties"/>
    <ds:schemaRef ds:uri="http://schemas.microsoft.com/office/infopath/2007/PartnerControls"/>
    <ds:schemaRef ds:uri="f2ec8d3c-c12f-424c-926f-1f8ebca512fc"/>
    <ds:schemaRef ds:uri="1065ab05-f7f8-4724-b49f-1e8bf2acbb1d"/>
    <ds:schemaRef ds:uri="3785b0a4-60ab-48f8-acaf-7715a7a45900"/>
  </ds:schemaRefs>
</ds:datastoreItem>
</file>

<file path=customXml/itemProps4.xml><?xml version="1.0" encoding="utf-8"?>
<ds:datastoreItem xmlns:ds="http://schemas.openxmlformats.org/officeDocument/2006/customXml" ds:itemID="{27388875-CE61-49E2-BC82-DB7BD4B1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3785b0a4-60ab-48f8-acaf-7715a7a4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64403-BABE-4D87-A4CC-A3E04748CF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1159</Words>
  <Characters>6143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Endringsforskrift</vt:lpstr>
    </vt:vector>
  </TitlesOfParts>
  <Company>Sjøfartsdirektoratet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Endringsforskrift</dc:title>
  <dc:subject/>
  <dc:creator>Henrikke Roald</dc:creator>
  <cp:keywords/>
  <dc:description/>
  <cp:lastModifiedBy>Løvseth Hanne Lene</cp:lastModifiedBy>
  <cp:revision>6</cp:revision>
  <cp:lastPrinted>2018-04-27T10:01:00Z</cp:lastPrinted>
  <dcterms:created xsi:type="dcterms:W3CDTF">2018-10-26T08:06:00Z</dcterms:created>
  <dcterms:modified xsi:type="dcterms:W3CDTF">2018-11-01T09:18:00Z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0x0101008ABC6F4325FBF146B7577C860B30D360010090C27E206E3C5B4D9CE18C9AE5F10B7F</vt:lpwstr>
  </property>
  <property fmtid="{D5CDD505-2E9C-101B-9397-08002B2CF9AE}" pid="3" name="_dlc_DocIdItemGuid">
    <vt:lpwstr>55561dab-d9f5-420c-92d5-521f4b2d49e4</vt:lpwstr>
  </property>
  <property fmtid="{D5CDD505-2E9C-101B-9397-08002B2CF9AE}" pid="4" name="Dokumenttype">
    <vt:lpwstr>355;#Høring|e062b00f-c052-4aac-9f03-003b4944cacc</vt:lpwstr>
  </property>
  <property fmtid="{D5CDD505-2E9C-101B-9397-08002B2CF9AE}" pid="5" name="Organisasjon">
    <vt:lpwstr>43;#Regelverk og internasjonalt arbeid|579ac3cd-d96a-40dd-9ad3-ecdbcf004da7</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kc7c6ce0590d4971ab5f4f25ee8183c6">
    <vt:lpwstr/>
  </property>
  <property fmtid="{D5CDD505-2E9C-101B-9397-08002B2CF9AE}" pid="9" name="nb5bf3e62b764ecab24439f884b94e4d">
    <vt:lpwstr/>
  </property>
  <property fmtid="{D5CDD505-2E9C-101B-9397-08002B2CF9AE}" pid="10" name="Prosess">
    <vt:lpwstr/>
  </property>
  <property fmtid="{D5CDD505-2E9C-101B-9397-08002B2CF9AE}" pid="11" name="Prosjekt">
    <vt:lpwstr/>
  </property>
</Properties>
</file>