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CD6" w:rsidRDefault="00BE1CD6">
      <w:pPr>
        <w:pStyle w:val="Overskrift2"/>
        <w:spacing w:before="0" w:after="0"/>
        <w:jc w:val="center"/>
        <w:rPr>
          <w:sz w:val="22"/>
        </w:rPr>
      </w:pPr>
    </w:p>
    <w:p w:rsidR="00BE1CD6" w:rsidRDefault="00BE1CD6">
      <w:pPr>
        <w:rPr>
          <w:sz w:val="22"/>
        </w:rPr>
      </w:pPr>
      <w:bookmarkStart w:id="0" w:name="KAPITTEL_2"/>
      <w:bookmarkStart w:id="1" w:name="documentBody"/>
    </w:p>
    <w:p w:rsidR="00BE1CD6" w:rsidRDefault="00BE1CD6">
      <w:pPr>
        <w:rPr>
          <w:sz w:val="22"/>
        </w:rPr>
      </w:pPr>
    </w:p>
    <w:p w:rsidR="00BE1CD6" w:rsidRDefault="00BE1CD6">
      <w:pPr>
        <w:rPr>
          <w:sz w:val="22"/>
        </w:rPr>
      </w:pPr>
    </w:p>
    <w:p w:rsidR="00BE1CD6" w:rsidRDefault="00C86D1A">
      <w:pPr>
        <w:pStyle w:val="Overskrift2"/>
        <w:spacing w:before="0" w:after="0"/>
      </w:pPr>
      <w:bookmarkStart w:id="2" w:name="_Toc256000007"/>
      <w:bookmarkStart w:id="3" w:name="_Toc256000003"/>
      <w:r>
        <w:t>Chapter 2. Requirements concerning cash register systems and system descriptions</w:t>
      </w:r>
      <w:bookmarkStart w:id="4" w:name="PARAGRAF_section2-7"/>
      <w:bookmarkEnd w:id="2"/>
      <w:bookmarkEnd w:id="3"/>
    </w:p>
    <w:p w:rsidR="00BE1CD6" w:rsidRDefault="00BE1CD6">
      <w:pPr>
        <w:rPr>
          <w:sz w:val="22"/>
        </w:rPr>
      </w:pPr>
    </w:p>
    <w:p w:rsidR="00BE1CD6" w:rsidRDefault="00C86D1A">
      <w:pPr>
        <w:rPr>
          <w:b/>
          <w:sz w:val="22"/>
        </w:rPr>
      </w:pPr>
      <w:bookmarkStart w:id="5" w:name="§section2-7"/>
      <w:bookmarkEnd w:id="5"/>
      <w:r>
        <w:rPr>
          <w:b/>
          <w:sz w:val="22"/>
        </w:rPr>
        <w:t>Section 2-7.</w:t>
      </w:r>
      <w:r>
        <w:rPr>
          <w:sz w:val="22"/>
        </w:rPr>
        <w:t xml:space="preserve"> </w:t>
      </w:r>
      <w:r>
        <w:rPr>
          <w:b/>
          <w:i/>
          <w:sz w:val="22"/>
        </w:rPr>
        <w:t>Electronic journal</w:t>
      </w:r>
    </w:p>
    <w:p w:rsidR="00BE1CD6" w:rsidRDefault="00C86D1A">
      <w:pPr>
        <w:spacing w:before="120"/>
        <w:rPr>
          <w:sz w:val="22"/>
        </w:rPr>
      </w:pPr>
      <w:r>
        <w:rPr>
          <w:sz w:val="22"/>
        </w:rPr>
        <w:t xml:space="preserve">(1) All continuous use must be continuously stored in an electronic journal. This also includes information on receipts as mentioned in Section 1-2, letters d to h. The electronic journal must be protected against alteration and deletion. The electronic journal may be transferable to another electronic medium using a file format that cannot be readily edited. Such a transfer must not be possible before the cash register system has produced a Z report. </w:t>
      </w:r>
      <w:r w:rsidRPr="00C86D1A">
        <w:rPr>
          <w:sz w:val="22"/>
          <w:highlight w:val="yellow"/>
        </w:rPr>
        <w:t>The system must be capable of producing a file directly from the electronic journal or other electronic medium in a standardised form determined by the Directorate of Taxes.</w:t>
      </w:r>
    </w:p>
    <w:p w:rsidR="00BE1CD6" w:rsidRDefault="00C86D1A">
      <w:pPr>
        <w:spacing w:before="120"/>
        <w:rPr>
          <w:sz w:val="22"/>
        </w:rPr>
      </w:pPr>
      <w:r>
        <w:rPr>
          <w:sz w:val="22"/>
        </w:rPr>
        <w:t>(2) The times of opening of the integrated cash box must be shown in the electronic journal.</w:t>
      </w:r>
    </w:p>
    <w:p w:rsidR="00BE1CD6" w:rsidRDefault="00C86D1A">
      <w:pPr>
        <w:spacing w:before="120"/>
        <w:rPr>
          <w:sz w:val="22"/>
        </w:rPr>
      </w:pPr>
      <w:r>
        <w:rPr>
          <w:sz w:val="22"/>
        </w:rPr>
        <w:t>(3) If the cash register system has functionality for pricing goods and services, it must be possible to obtain information on current prices from the cash register system. In such a case, the electronic journal must indicate when the prices have been changed. The same provision applies in respect of other changes to fixed information.</w:t>
      </w:r>
    </w:p>
    <w:p w:rsidR="00BE1CD6" w:rsidRDefault="00C86D1A">
      <w:pPr>
        <w:spacing w:before="120"/>
        <w:rPr>
          <w:sz w:val="22"/>
        </w:rPr>
      </w:pPr>
      <w:r>
        <w:rPr>
          <w:sz w:val="22"/>
        </w:rPr>
        <w:t>(4) If the cash register system has functionality for looking up prices, such price look-ups must be registered in the electronic journal.</w:t>
      </w:r>
    </w:p>
    <w:p w:rsidR="00BE1CD6" w:rsidRDefault="00C86D1A">
      <w:pPr>
        <w:spacing w:before="120"/>
        <w:rPr>
          <w:sz w:val="22"/>
        </w:rPr>
      </w:pPr>
      <w:r>
        <w:rPr>
          <w:sz w:val="22"/>
        </w:rPr>
        <w:t>(5) If the cash register system has functionality for identifying individual operators by use of card or similar, the electronic journal must contain information about the name or em</w:t>
      </w:r>
      <w:bookmarkStart w:id="6" w:name="_GoBack"/>
      <w:bookmarkEnd w:id="6"/>
      <w:r>
        <w:rPr>
          <w:sz w:val="22"/>
        </w:rPr>
        <w:t>ployee number of the person concerned in connection with sales transactions and other registrations.</w:t>
      </w:r>
    </w:p>
    <w:p w:rsidR="00BE1CD6" w:rsidRDefault="00C86D1A">
      <w:pPr>
        <w:spacing w:before="120"/>
        <w:rPr>
          <w:sz w:val="22"/>
        </w:rPr>
      </w:pPr>
      <w:r>
        <w:rPr>
          <w:sz w:val="22"/>
        </w:rPr>
        <w:t>(6) It must be possible to identify and differentiate all continuous use by means of a start time.</w:t>
      </w:r>
      <w:bookmarkEnd w:id="4"/>
      <w:bookmarkEnd w:id="0"/>
      <w:bookmarkEnd w:id="1"/>
    </w:p>
    <w:sectPr w:rsidR="00BE1CD6">
      <w:footerReference w:type="default" r:id="rId6"/>
      <w:type w:val="continuous"/>
      <w:pgSz w:w="11906" w:h="16838"/>
      <w:pgMar w:top="1020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EEC" w:rsidRDefault="00C86D1A">
      <w:r>
        <w:separator/>
      </w:r>
    </w:p>
  </w:endnote>
  <w:endnote w:type="continuationSeparator" w:id="0">
    <w:p w:rsidR="00671EEC" w:rsidRDefault="00C8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CD6" w:rsidRDefault="00C86D1A">
    <w:pPr>
      <w:jc w:val="center"/>
      <w:rPr>
        <w:sz w:val="22"/>
      </w:rPr>
    </w:pPr>
    <w:r>
      <w:rPr>
        <w:sz w:val="22"/>
      </w:rPr>
      <w:t xml:space="preserve"> </w:t>
    </w:r>
  </w:p>
  <w:p w:rsidR="00BE1CD6" w:rsidRDefault="00C86D1A">
    <w:pPr>
      <w:jc w:val="center"/>
      <w:rPr>
        <w:sz w:val="22"/>
      </w:rPr>
    </w:pPr>
    <w:r>
      <w:rPr>
        <w:sz w:val="22"/>
      </w:rPr>
      <w:t>Regulations relating to requirements for cash register systems (the Cash Register Systems Regulations)</w:t>
    </w:r>
  </w:p>
  <w:p w:rsidR="00BE1CD6" w:rsidRDefault="00C86D1A">
    <w:pPr>
      <w:jc w:val="center"/>
      <w:rPr>
        <w:sz w:val="22"/>
      </w:rPr>
    </w:pPr>
    <w:r>
      <w:rPr>
        <w:sz w:val="22"/>
      </w:rPr>
      <w:t xml:space="preserve">Side </w:t>
    </w: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 w:rsidR="00FD6A3C">
      <w:rPr>
        <w:noProof/>
        <w:sz w:val="22"/>
      </w:rPr>
      <w:t>1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EEC" w:rsidRDefault="00C86D1A">
      <w:r>
        <w:separator/>
      </w:r>
    </w:p>
  </w:footnote>
  <w:footnote w:type="continuationSeparator" w:id="0">
    <w:p w:rsidR="00671EEC" w:rsidRDefault="00C86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671EEC"/>
    <w:rsid w:val="00A77B3E"/>
    <w:rsid w:val="00BE1CD6"/>
    <w:rsid w:val="00C86D1A"/>
    <w:rsid w:val="00CA2A55"/>
    <w:rsid w:val="00FD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123DDC6-5377-4BEC-B488-52AF20A4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EF7B96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EF7B96"/>
    <w:pPr>
      <w:spacing w:before="240" w:after="60"/>
      <w:outlineLvl w:val="7"/>
    </w:pPr>
    <w:rPr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rsid w:val="00805BCE"/>
    <w:rPr>
      <w:b/>
      <w:sz w:val="22"/>
    </w:rPr>
  </w:style>
  <w:style w:type="paragraph" w:styleId="INNH2">
    <w:name w:val="toc 2"/>
    <w:basedOn w:val="Normal"/>
    <w:next w:val="Normal"/>
    <w:autoRedefine/>
    <w:rsid w:val="00805BCE"/>
    <w:pPr>
      <w:ind w:left="240"/>
    </w:pPr>
    <w:rPr>
      <w:b/>
      <w:sz w:val="22"/>
    </w:rPr>
  </w:style>
  <w:style w:type="paragraph" w:styleId="INNH3">
    <w:name w:val="toc 3"/>
    <w:basedOn w:val="Normal"/>
    <w:next w:val="Normal"/>
    <w:autoRedefine/>
    <w:rsid w:val="00805BCE"/>
    <w:pPr>
      <w:ind w:left="480"/>
    </w:pPr>
    <w:rPr>
      <w:b/>
      <w:sz w:val="22"/>
    </w:rPr>
  </w:style>
  <w:style w:type="paragraph" w:styleId="INNH4">
    <w:name w:val="toc 4"/>
    <w:basedOn w:val="Normal"/>
    <w:next w:val="Normal"/>
    <w:autoRedefine/>
    <w:rsid w:val="00805BCE"/>
    <w:pPr>
      <w:ind w:left="720"/>
    </w:pPr>
    <w:rPr>
      <w:b/>
      <w:sz w:val="22"/>
    </w:rPr>
  </w:style>
  <w:style w:type="paragraph" w:styleId="INNH5">
    <w:name w:val="toc 5"/>
    <w:basedOn w:val="Normal"/>
    <w:next w:val="Normal"/>
    <w:autoRedefine/>
    <w:rsid w:val="00805BCE"/>
    <w:pPr>
      <w:ind w:left="960"/>
    </w:pPr>
    <w:rPr>
      <w:b/>
      <w:sz w:val="22"/>
    </w:rPr>
  </w:style>
  <w:style w:type="paragraph" w:styleId="INNH6">
    <w:name w:val="toc 6"/>
    <w:basedOn w:val="Normal"/>
    <w:next w:val="Normal"/>
    <w:autoRedefine/>
    <w:rsid w:val="00805BCE"/>
    <w:pPr>
      <w:ind w:left="1200"/>
    </w:pPr>
    <w:rPr>
      <w:b/>
      <w:sz w:val="22"/>
    </w:rPr>
  </w:style>
  <w:style w:type="paragraph" w:styleId="INNH7">
    <w:name w:val="toc 7"/>
    <w:basedOn w:val="Normal"/>
    <w:next w:val="Normal"/>
    <w:autoRedefine/>
    <w:rsid w:val="00805BCE"/>
    <w:pPr>
      <w:ind w:left="1440"/>
    </w:pPr>
    <w:rPr>
      <w:b/>
      <w:sz w:val="22"/>
    </w:rPr>
  </w:style>
  <w:style w:type="paragraph" w:styleId="INNH8">
    <w:name w:val="toc 8"/>
    <w:basedOn w:val="Normal"/>
    <w:next w:val="Normal"/>
    <w:autoRedefine/>
    <w:rsid w:val="00805BCE"/>
    <w:pPr>
      <w:ind w:left="1680"/>
    </w:pPr>
    <w:rPr>
      <w:b/>
      <w:sz w:val="22"/>
    </w:rPr>
  </w:style>
  <w:style w:type="paragraph" w:styleId="INNH9">
    <w:name w:val="toc 9"/>
    <w:basedOn w:val="Normal"/>
    <w:next w:val="Normal"/>
    <w:autoRedefine/>
    <w:rsid w:val="00805BCE"/>
    <w:pPr>
      <w:ind w:left="1920"/>
    </w:pPr>
    <w:rPr>
      <w:b/>
      <w:sz w:val="22"/>
    </w:rPr>
  </w:style>
  <w:style w:type="character" w:styleId="Hyperkobling">
    <w:name w:val="Hyperlink"/>
    <w:basedOn w:val="Standardskriftforavsnitt"/>
    <w:rsid w:val="00EF7B96"/>
    <w:rPr>
      <w:color w:val="0000FF"/>
      <w:u w:val="single"/>
    </w:rPr>
  </w:style>
  <w:style w:type="paragraph" w:styleId="Topptekst">
    <w:name w:val="header"/>
    <w:basedOn w:val="Normal"/>
    <w:link w:val="TopptekstTegn"/>
    <w:unhideWhenUsed/>
    <w:rsid w:val="00FD6A3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D6A3C"/>
    <w:rPr>
      <w:sz w:val="24"/>
      <w:szCs w:val="24"/>
    </w:rPr>
  </w:style>
  <w:style w:type="paragraph" w:styleId="Bunntekst">
    <w:name w:val="footer"/>
    <w:basedOn w:val="Normal"/>
    <w:link w:val="BunntekstTegn"/>
    <w:unhideWhenUsed/>
    <w:rsid w:val="00FD6A3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D6A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Regulations relating to requirements for cash register systems (the Cash Register Systems Regulations)</vt:lpstr>
      <vt:lpstr/>
    </vt:vector>
  </TitlesOfParts>
  <Company>Stiftelsen Lovdata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Regulations relating to requirements for cash register systems (the Cash Register Systems Regulations)</dc:title>
  <dc:subject>Regulations relating to requirements for cash register systems (the Cash Register Systems Regulations)</dc:subject>
  <dc:creator>Stiftelsen Lovdata</dc:creator>
  <cp:lastModifiedBy>Woxholt, Beathe Kollstrøm</cp:lastModifiedBy>
  <cp:revision>2</cp:revision>
  <dcterms:created xsi:type="dcterms:W3CDTF">2019-06-11T12:00:00Z</dcterms:created>
  <dcterms:modified xsi:type="dcterms:W3CDTF">2019-06-11T12:00:00Z</dcterms:modified>
  <cp:category>Juridisk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faultFont">
    <vt:lpwstr>Times New Roman</vt:lpwstr>
  </property>
  <property fmtid="{D5CDD505-2E9C-101B-9397-08002B2CF9AE}" pid="3" name="Lovdata-UID">
    <vt:i4>51847</vt:i4>
  </property>
</Properties>
</file>