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73116">
      <w:bookmarkStart w:id="0" w:name="_GoBack"/>
      <w:bookmarkEnd w:id="0"/>
    </w:p>
    <w:p w:rsidR="00A77B3E" w:rsidRDefault="00373116">
      <w:pPr>
        <w:jc w:val="center"/>
      </w:pPr>
      <w:r>
        <w:t xml:space="preserve"> </w:t>
      </w:r>
    </w:p>
    <w:p w:rsidR="00A77B3E" w:rsidRDefault="0037311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88303" cy="241599"/>
            <wp:effectExtent l="0" t="0" r="0" b="0"/>
            <wp:wrapTopAndBottom/>
            <wp:docPr id="100000" name="Bilde 1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8303" cy="24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B3E" w:rsidRDefault="00373116">
      <w:pPr>
        <w:pStyle w:val="Overskrift1"/>
        <w:jc w:val="center"/>
      </w:pPr>
      <w:r>
        <w:t>Forskrift om endring i diverse forskrifter som gjelder for flyttbare innretninger</w:t>
      </w:r>
    </w:p>
    <w:p w:rsidR="00C71AF5" w:rsidRDefault="00C71AF5">
      <w:pPr>
        <w:jc w:val="center"/>
        <w:rPr>
          <w:sz w:val="22"/>
        </w:rPr>
      </w:pPr>
    </w:p>
    <w:p w:rsidR="00C71AF5" w:rsidRDefault="00C71AF5">
      <w:pPr>
        <w:jc w:val="center"/>
        <w:rPr>
          <w:sz w:val="22"/>
        </w:rPr>
      </w:pPr>
    </w:p>
    <w:p w:rsidR="00C71AF5" w:rsidRDefault="00C71AF5">
      <w:pPr>
        <w:rPr>
          <w:sz w:val="6"/>
        </w:rPr>
      </w:pPr>
      <w:bookmarkStart w:id="1" w:name="DocumentBody"/>
    </w:p>
    <w:p w:rsidR="00C71AF5" w:rsidRDefault="00373116">
      <w:pPr>
        <w:rPr>
          <w:sz w:val="22"/>
        </w:rPr>
      </w:pPr>
      <w:r>
        <w:rPr>
          <w:b/>
          <w:sz w:val="18"/>
        </w:rPr>
        <w:t>Hjemmel:</w:t>
      </w:r>
      <w:r>
        <w:rPr>
          <w:sz w:val="18"/>
        </w:rPr>
        <w:t xml:space="preserve"> Fastsatt av Sjøfartsdirektoratet 19. desember 2017 med hjemmel i </w:t>
      </w:r>
      <w:hyperlink r:id="rId7" w:anchor="reference/lov/2007-02-16-9" w:history="1">
        <w:r>
          <w:rPr>
            <w:sz w:val="18"/>
          </w:rPr>
          <w:t>lov 16. februar 2007</w:t>
        </w:r>
        <w:r>
          <w:rPr>
            <w:sz w:val="18"/>
          </w:rPr>
          <w:t xml:space="preserve"> nr. 9</w:t>
        </w:r>
      </w:hyperlink>
      <w:r>
        <w:rPr>
          <w:sz w:val="18"/>
        </w:rPr>
        <w:t xml:space="preserve"> om skipssikkerhet (skipssikkerhetsloven) § 2, § 6, § 7, § 8, § 9, § 11, § 12, § 13, § 14, § 16, § 21, § 22, § 25 § 26, § 27, § 28, § 28a, § 31, § 42 og § 45, jf. </w:t>
      </w:r>
      <w:hyperlink r:id="rId8" w:anchor="reference/forskrift/2007-02-16-171" w:history="1">
        <w:r>
          <w:rPr>
            <w:sz w:val="18"/>
          </w:rPr>
          <w:t>deleg</w:t>
        </w:r>
        <w:r>
          <w:rPr>
            <w:sz w:val="18"/>
          </w:rPr>
          <w:t>eringsvedtak 16. februar 2007 nr. 171</w:t>
        </w:r>
      </w:hyperlink>
      <w:r>
        <w:rPr>
          <w:sz w:val="18"/>
        </w:rPr>
        <w:t xml:space="preserve">, </w:t>
      </w:r>
      <w:hyperlink r:id="rId9" w:anchor="reference/forskrift/2007-05-31-590" w:history="1">
        <w:r>
          <w:rPr>
            <w:sz w:val="18"/>
          </w:rPr>
          <w:t>delegeringsvedtak 31. mai 2007 nr. 590</w:t>
        </w:r>
      </w:hyperlink>
      <w:r>
        <w:rPr>
          <w:sz w:val="18"/>
        </w:rPr>
        <w:t xml:space="preserve">, </w:t>
      </w:r>
      <w:hyperlink r:id="rId10" w:anchor="reference/forskrift/2007-06-29-849" w:history="1">
        <w:r>
          <w:rPr>
            <w:sz w:val="18"/>
          </w:rPr>
          <w:t>delegeringsve</w:t>
        </w:r>
        <w:r>
          <w:rPr>
            <w:sz w:val="18"/>
          </w:rPr>
          <w:t>dtak 29. juni 2007 nr. 849</w:t>
        </w:r>
      </w:hyperlink>
      <w:r>
        <w:rPr>
          <w:sz w:val="18"/>
        </w:rPr>
        <w:t xml:space="preserve"> og </w:t>
      </w:r>
      <w:hyperlink r:id="rId11" w:anchor="reference/forskrift/2013-08-19-1002" w:history="1">
        <w:r>
          <w:rPr>
            <w:sz w:val="18"/>
          </w:rPr>
          <w:t>delegeringsvedtak 19. august 2013 nr. 1002</w:t>
        </w:r>
      </w:hyperlink>
      <w:r>
        <w:rPr>
          <w:sz w:val="18"/>
        </w:rPr>
        <w:t>.</w:t>
      </w:r>
      <w:r>
        <w:rPr>
          <w:sz w:val="18"/>
        </w:rPr>
        <w:br/>
        <w:t xml:space="preserve">Forskriften er meldt til EFTAs overvåkingsorgan i henhold til kravene i </w:t>
      </w:r>
      <w:hyperlink r:id="rId12" w:anchor="reference/lov/2004-12-17-101" w:history="1">
        <w:r>
          <w:rPr>
            <w:sz w:val="18"/>
          </w:rPr>
          <w:t>lov 17. desember 2004 nr. 101</w:t>
        </w:r>
      </w:hyperlink>
      <w:r>
        <w:rPr>
          <w:sz w:val="18"/>
        </w:rPr>
        <w:t xml:space="preserve"> om europeisk meldeplikt for tekniske regler m.m. (EØS-høringsloven) og EØS-avtalen vedlegg II kap. XIX nr. 1 (direktiv </w:t>
      </w:r>
      <w:hyperlink r:id="rId13" w:anchor="reference/eu/31998l0034" w:history="1">
        <w:r>
          <w:rPr>
            <w:sz w:val="18"/>
          </w:rPr>
          <w:t>98/34/EF</w:t>
        </w:r>
      </w:hyperlink>
      <w:r>
        <w:rPr>
          <w:sz w:val="18"/>
        </w:rPr>
        <w:t xml:space="preserve"> endret ved direktiv </w:t>
      </w:r>
      <w:hyperlink r:id="rId14" w:anchor="reference/eu/31998l0048" w:history="1">
        <w:r>
          <w:rPr>
            <w:sz w:val="18"/>
          </w:rPr>
          <w:t>98/48/EF</w:t>
        </w:r>
      </w:hyperlink>
      <w:r>
        <w:rPr>
          <w:sz w:val="18"/>
        </w:rPr>
        <w:t>).</w:t>
      </w:r>
      <w:bookmarkStart w:id="2" w:name="KAPITTEL_1"/>
      <w:bookmarkEnd w:id="2"/>
    </w:p>
    <w:p w:rsidR="00C71AF5" w:rsidRDefault="00C71AF5">
      <w:pPr>
        <w:rPr>
          <w:sz w:val="22"/>
        </w:rPr>
      </w:pPr>
    </w:p>
    <w:p w:rsidR="00C71AF5" w:rsidRDefault="00C71AF5">
      <w:pPr>
        <w:rPr>
          <w:sz w:val="22"/>
        </w:rPr>
      </w:pPr>
    </w:p>
    <w:p w:rsidR="00C71AF5" w:rsidRDefault="00373116">
      <w:pPr>
        <w:pStyle w:val="Overskrift2"/>
        <w:spacing w:before="0" w:after="0"/>
        <w:jc w:val="center"/>
        <w:rPr>
          <w:sz w:val="6"/>
        </w:rPr>
      </w:pPr>
      <w:r>
        <w:t>I</w:t>
      </w:r>
    </w:p>
    <w:p w:rsidR="00C71AF5" w:rsidRDefault="00373116">
      <w:pPr>
        <w:spacing w:before="120"/>
        <w:ind w:firstLine="180"/>
        <w:rPr>
          <w:sz w:val="22"/>
        </w:rPr>
      </w:pPr>
      <w:r>
        <w:rPr>
          <w:sz w:val="22"/>
        </w:rPr>
        <w:t xml:space="preserve">I </w:t>
      </w:r>
      <w:hyperlink r:id="rId15" w:anchor="reference/forskrift/1987-09-04-856" w:history="1">
        <w:r>
          <w:rPr>
            <w:sz w:val="22"/>
          </w:rPr>
          <w:t>forskrift 4. september 1987 nr. 856</w:t>
        </w:r>
      </w:hyperlink>
      <w:r>
        <w:rPr>
          <w:sz w:val="22"/>
        </w:rPr>
        <w:t xml:space="preserve"> om by</w:t>
      </w:r>
      <w:r>
        <w:rPr>
          <w:sz w:val="22"/>
        </w:rPr>
        <w:t>gging av flyttbare innretninger gjøres følgende endringer:</w:t>
      </w:r>
    </w:p>
    <w:p w:rsidR="00C71AF5" w:rsidRDefault="00C71AF5">
      <w:pPr>
        <w:spacing w:before="120"/>
        <w:ind w:firstLine="180"/>
        <w:rPr>
          <w:sz w:val="6"/>
        </w:rPr>
      </w:pPr>
    </w:p>
    <w:p w:rsidR="00C71AF5" w:rsidRDefault="00373116">
      <w:pPr>
        <w:rPr>
          <w:sz w:val="6"/>
        </w:rPr>
      </w:pPr>
      <w:r>
        <w:rPr>
          <w:sz w:val="22"/>
        </w:rPr>
        <w:t>§ 6 ny nr. 1.2 skal lyde:</w:t>
      </w:r>
    </w:p>
    <w:p w:rsidR="00C71AF5" w:rsidRDefault="00C71AF5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C71AF5">
        <w:tc>
          <w:tcPr>
            <w:tcW w:w="720" w:type="dxa"/>
            <w:noWrap/>
            <w:tcMar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Ved dimensjonering av bærende konstruksjoner skal det som minimum benyttes samtidige miljølaster med årlig sannsynlighet på 10⁻² for bølger og vind og årlig sannsyn</w:t>
            </w:r>
            <w:r>
              <w:rPr>
                <w:sz w:val="22"/>
              </w:rPr>
              <w:t>lighet på 10⁻¹ for strøm. Som alternativ til lastkombinasjon med gitt sannsynlighet kan det brukes respons med samme sannsynlighet.</w:t>
            </w:r>
          </w:p>
          <w:p w:rsidR="00C71AF5" w:rsidRDefault="00C71AF5">
            <w:pPr>
              <w:rPr>
                <w:sz w:val="22"/>
              </w:rPr>
            </w:pPr>
          </w:p>
        </w:tc>
      </w:tr>
    </w:tbl>
    <w:p w:rsidR="00C71AF5" w:rsidRDefault="00C71AF5">
      <w:pPr>
        <w:rPr>
          <w:sz w:val="6"/>
        </w:rPr>
      </w:pPr>
    </w:p>
    <w:p w:rsidR="00C71AF5" w:rsidRDefault="00373116">
      <w:pPr>
        <w:rPr>
          <w:sz w:val="6"/>
        </w:rPr>
      </w:pPr>
      <w:r>
        <w:rPr>
          <w:sz w:val="22"/>
        </w:rPr>
        <w:t>§ 6 nr. 2.1 skal lyde:</w:t>
      </w:r>
    </w:p>
    <w:p w:rsidR="00C71AF5" w:rsidRDefault="00C71AF5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C71AF5">
        <w:tc>
          <w:tcPr>
            <w:tcW w:w="720" w:type="dxa"/>
            <w:noWrap/>
            <w:tcMar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 xml:space="preserve">Det skal foretas en beregning av innretningen, herunder skrog, dekk, legger, opplagring for </w:t>
            </w:r>
            <w:r>
              <w:rPr>
                <w:sz w:val="22"/>
              </w:rPr>
              <w:t>legger, løfte- og låsemekanisme for legger, dekkshus og andre hovedstyrkedeler.</w:t>
            </w:r>
          </w:p>
          <w:p w:rsidR="00C71AF5" w:rsidRDefault="00C71AF5">
            <w:pPr>
              <w:rPr>
                <w:sz w:val="22"/>
              </w:rPr>
            </w:pPr>
          </w:p>
        </w:tc>
      </w:tr>
    </w:tbl>
    <w:p w:rsidR="00C71AF5" w:rsidRDefault="00C71AF5">
      <w:pPr>
        <w:rPr>
          <w:sz w:val="6"/>
        </w:rPr>
      </w:pPr>
    </w:p>
    <w:p w:rsidR="00C71AF5" w:rsidRDefault="00373116">
      <w:pPr>
        <w:rPr>
          <w:sz w:val="6"/>
        </w:rPr>
      </w:pPr>
      <w:r>
        <w:rPr>
          <w:sz w:val="22"/>
        </w:rPr>
        <w:t>Nåværende nr. 2.3 blir nr. 2.2 og skal lyde:</w:t>
      </w:r>
    </w:p>
    <w:p w:rsidR="00C71AF5" w:rsidRDefault="00C71AF5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C71AF5">
        <w:tc>
          <w:tcPr>
            <w:tcW w:w="720" w:type="dxa"/>
            <w:noWrap/>
            <w:tcMar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Beregningene skal utføres etter de til enhver tid gjeldende designkriterier og beregningsmetoder fastsatt i reglene til MO</w:t>
            </w:r>
            <w:r>
              <w:rPr>
                <w:sz w:val="22"/>
              </w:rPr>
              <w:t>U-klasseinstitusjon. Beregningene skal ivareta følgende:</w:t>
            </w:r>
          </w:p>
          <w:p w:rsidR="00C71AF5" w:rsidRDefault="00C71AF5">
            <w:pPr>
              <w:rPr>
                <w:sz w:val="22"/>
              </w:rPr>
            </w:pPr>
          </w:p>
        </w:tc>
      </w:tr>
    </w:tbl>
    <w:p w:rsidR="00C71AF5" w:rsidRDefault="00C71AF5">
      <w:pPr>
        <w:rPr>
          <w:sz w:val="6"/>
        </w:rPr>
      </w:pPr>
    </w:p>
    <w:p w:rsidR="00C71AF5" w:rsidRDefault="00373116">
      <w:pPr>
        <w:rPr>
          <w:sz w:val="6"/>
        </w:rPr>
      </w:pPr>
      <w:r>
        <w:rPr>
          <w:sz w:val="22"/>
        </w:rPr>
        <w:t>Nåværende nr. 2.2 blir ny nr. 2.2.1 og skal lyde:</w:t>
      </w:r>
    </w:p>
    <w:p w:rsidR="00C71AF5" w:rsidRDefault="00C71AF5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C71AF5">
        <w:tc>
          <w:tcPr>
            <w:tcW w:w="720" w:type="dxa"/>
            <w:noWrap/>
            <w:tcMar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2.2.1.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 xml:space="preserve">Beregningene skal utføres for aktuelle lastetilstander med den minst gunstige kombinasjonen av maksimale stedlige miljøbelastninger og </w:t>
            </w:r>
            <w:r>
              <w:rPr>
                <w:sz w:val="22"/>
              </w:rPr>
              <w:t>funksjonsbelastninger.</w:t>
            </w:r>
          </w:p>
          <w:p w:rsidR="00C71AF5" w:rsidRDefault="00C71AF5">
            <w:pPr>
              <w:rPr>
                <w:sz w:val="22"/>
              </w:rPr>
            </w:pPr>
          </w:p>
        </w:tc>
      </w:tr>
    </w:tbl>
    <w:p w:rsidR="00C71AF5" w:rsidRDefault="00C71AF5">
      <w:pPr>
        <w:rPr>
          <w:sz w:val="6"/>
        </w:rPr>
      </w:pPr>
    </w:p>
    <w:p w:rsidR="00C71AF5" w:rsidRDefault="00373116">
      <w:pPr>
        <w:rPr>
          <w:sz w:val="6"/>
        </w:rPr>
      </w:pPr>
      <w:r>
        <w:rPr>
          <w:sz w:val="22"/>
        </w:rPr>
        <w:t>Ny nr. 2.2.2 skal lyde:</w:t>
      </w:r>
    </w:p>
    <w:p w:rsidR="00C71AF5" w:rsidRDefault="00C71AF5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C71AF5">
        <w:tc>
          <w:tcPr>
            <w:tcW w:w="720" w:type="dxa"/>
            <w:noWrap/>
            <w:tcMar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2.2.2.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Ved dimensjonering av bærende konstruksjoner skal motstand mot knekking være den samme for permanente laster, funksjonelle laster, miljølaster og deformasjonslaster, eller kombinasjoner av disse las</w:t>
            </w:r>
            <w:r>
              <w:rPr>
                <w:sz w:val="22"/>
              </w:rPr>
              <w:t>tene.</w:t>
            </w:r>
          </w:p>
          <w:p w:rsidR="00C71AF5" w:rsidRDefault="00C71AF5">
            <w:pPr>
              <w:rPr>
                <w:sz w:val="22"/>
              </w:rPr>
            </w:pPr>
          </w:p>
        </w:tc>
      </w:tr>
    </w:tbl>
    <w:p w:rsidR="00C71AF5" w:rsidRDefault="00C71AF5">
      <w:pPr>
        <w:rPr>
          <w:sz w:val="6"/>
        </w:rPr>
      </w:pPr>
    </w:p>
    <w:p w:rsidR="00C71AF5" w:rsidRDefault="00373116">
      <w:pPr>
        <w:rPr>
          <w:sz w:val="6"/>
        </w:rPr>
      </w:pPr>
      <w:r>
        <w:rPr>
          <w:sz w:val="22"/>
        </w:rPr>
        <w:t>Ny nr. 2.2.3 skal lyde:</w:t>
      </w:r>
    </w:p>
    <w:p w:rsidR="00C71AF5" w:rsidRDefault="00C71AF5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C71AF5">
        <w:tc>
          <w:tcPr>
            <w:tcW w:w="720" w:type="dxa"/>
            <w:noWrap/>
            <w:tcMar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2.2.3.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 xml:space="preserve">Løftemaskineriet for oppjekkbar innretning skal være slik dimensjonert at det kan løfte 50 % over normalbelastning. Låsesystemet for leggene skal kunne holde 3 ganger normalbelastning. Med normalbelastning menes </w:t>
            </w:r>
            <w:r>
              <w:rPr>
                <w:sz w:val="22"/>
              </w:rPr>
              <w:t>maksimal oppjekket vekt, med tyngdepunkt som gir størst aksialkraft i et bein. Pre-lastkondisjonen inngår ikke i begrepet.</w:t>
            </w:r>
          </w:p>
          <w:p w:rsidR="00C71AF5" w:rsidRDefault="00C71AF5">
            <w:pPr>
              <w:rPr>
                <w:sz w:val="22"/>
              </w:rPr>
            </w:pPr>
          </w:p>
        </w:tc>
      </w:tr>
    </w:tbl>
    <w:p w:rsidR="00C71AF5" w:rsidRDefault="00C71AF5">
      <w:pPr>
        <w:rPr>
          <w:sz w:val="6"/>
        </w:rPr>
      </w:pPr>
    </w:p>
    <w:p w:rsidR="00C71AF5" w:rsidRDefault="00373116">
      <w:pPr>
        <w:rPr>
          <w:sz w:val="22"/>
        </w:rPr>
      </w:pPr>
      <w:r>
        <w:rPr>
          <w:sz w:val="22"/>
        </w:rPr>
        <w:t>Nåværende § 6 nr. 2.4 til nr. 2.10 blir ny nr. 2.2.4 til nr. 2.2.10.</w:t>
      </w:r>
    </w:p>
    <w:p w:rsidR="00C71AF5" w:rsidRDefault="00C71AF5">
      <w:pPr>
        <w:rPr>
          <w:sz w:val="6"/>
        </w:rPr>
      </w:pPr>
    </w:p>
    <w:p w:rsidR="00C71AF5" w:rsidRDefault="00373116">
      <w:pPr>
        <w:rPr>
          <w:sz w:val="6"/>
        </w:rPr>
      </w:pPr>
      <w:r>
        <w:rPr>
          <w:sz w:val="22"/>
        </w:rPr>
        <w:t>§ 6 nr. 5.3 skal lyde:</w:t>
      </w:r>
    </w:p>
    <w:p w:rsidR="00C71AF5" w:rsidRDefault="00C71AF5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C71AF5">
        <w:tc>
          <w:tcPr>
            <w:tcW w:w="720" w:type="dxa"/>
            <w:noWrap/>
            <w:tcMar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Oppjekkbare innretninger skal ha</w:t>
            </w:r>
            <w:r>
              <w:rPr>
                <w:sz w:val="22"/>
              </w:rPr>
              <w:t xml:space="preserve"> spudcans som er passende for bunnforholdene på lokasjonen.</w:t>
            </w:r>
          </w:p>
          <w:p w:rsidR="00C71AF5" w:rsidRDefault="00C71AF5">
            <w:pPr>
              <w:rPr>
                <w:sz w:val="22"/>
              </w:rPr>
            </w:pPr>
          </w:p>
        </w:tc>
      </w:tr>
    </w:tbl>
    <w:p w:rsidR="00C71AF5" w:rsidRDefault="00C71AF5">
      <w:pPr>
        <w:rPr>
          <w:sz w:val="6"/>
        </w:rPr>
      </w:pPr>
    </w:p>
    <w:p w:rsidR="00C71AF5" w:rsidRDefault="00373116">
      <w:pPr>
        <w:rPr>
          <w:sz w:val="6"/>
        </w:rPr>
      </w:pPr>
      <w:r>
        <w:rPr>
          <w:sz w:val="22"/>
        </w:rPr>
        <w:t>§ 10 nr. 1.2 skal lyde:</w:t>
      </w:r>
    </w:p>
    <w:p w:rsidR="00C71AF5" w:rsidRDefault="00C71AF5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C71AF5">
        <w:tc>
          <w:tcPr>
            <w:tcW w:w="720" w:type="dxa"/>
            <w:noWrap/>
            <w:tcMar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8786" w:type="dxa"/>
            <w:noWrap/>
            <w:tcMar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Oppjekkbare innretninger.</w:t>
            </w:r>
          </w:p>
        </w:tc>
      </w:tr>
    </w:tbl>
    <w:p w:rsidR="00C71AF5" w:rsidRDefault="00C71AF5">
      <w:pPr>
        <w:rPr>
          <w:sz w:val="6"/>
        </w:rPr>
      </w:pPr>
    </w:p>
    <w:p w:rsidR="00C71AF5" w:rsidRDefault="00373116">
      <w:pPr>
        <w:spacing w:before="120" w:after="4"/>
        <w:ind w:left="720" w:firstLine="180"/>
        <w:rPr>
          <w:sz w:val="22"/>
        </w:rPr>
      </w:pPr>
      <w:r>
        <w:rPr>
          <w:sz w:val="22"/>
        </w:rPr>
        <w:t xml:space="preserve">I oppjekket tilstand skal avstanden mellom underste dekk og høyeste bølgetopp være positiv ved høyeste bølge med en årlig sannsynlighet </w:t>
      </w:r>
      <w:r>
        <w:rPr>
          <w:sz w:val="22"/>
        </w:rPr>
        <w:t>på 10</w:t>
      </w:r>
      <w:r>
        <w:rPr>
          <w:sz w:val="22"/>
          <w:vertAlign w:val="superscript"/>
        </w:rPr>
        <w:t>-4</w:t>
      </w:r>
      <w:r>
        <w:rPr>
          <w:sz w:val="22"/>
        </w:rPr>
        <w:t xml:space="preserve"> med sesongjustering. Utregningen av høyeste beregningsbølge skal baseres på maksimal vannstand. Miljøeffektene skal kombineres i henhold til tabellen under:</w:t>
      </w:r>
    </w:p>
    <w:tbl>
      <w:tblPr>
        <w:tblW w:w="9506" w:type="dxa"/>
        <w:tblInd w:w="46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1849"/>
        <w:gridCol w:w="1849"/>
        <w:gridCol w:w="1849"/>
        <w:gridCol w:w="1849"/>
      </w:tblGrid>
      <w:tr w:rsidR="00C71AF5">
        <w:trPr>
          <w:cantSplit/>
        </w:trPr>
        <w:tc>
          <w:tcPr>
            <w:tcW w:w="1495" w:type="dxa"/>
            <w:shd w:val="clear" w:color="auto" w:fill="DCDCDC"/>
            <w:noWrap/>
            <w:tcMar>
              <w:left w:w="2" w:type="dxa"/>
              <w:right w:w="2" w:type="dxa"/>
            </w:tcMar>
          </w:tcPr>
          <w:p w:rsidR="00C71AF5" w:rsidRDefault="00C71AF5">
            <w:pPr>
              <w:spacing w:after="8"/>
              <w:rPr>
                <w:sz w:val="22"/>
              </w:rPr>
            </w:pPr>
          </w:p>
        </w:tc>
        <w:tc>
          <w:tcPr>
            <w:tcW w:w="1309" w:type="dxa"/>
            <w:shd w:val="clear" w:color="auto" w:fill="DCDCDC"/>
            <w:noWrap/>
            <w:tcMar>
              <w:left w:w="2" w:type="dxa"/>
              <w:right w:w="2" w:type="dxa"/>
            </w:tcMar>
          </w:tcPr>
          <w:p w:rsidR="00C71AF5" w:rsidRDefault="00373116">
            <w:pPr>
              <w:spacing w:after="8"/>
              <w:rPr>
                <w:sz w:val="22"/>
              </w:rPr>
            </w:pPr>
            <w:r>
              <w:rPr>
                <w:b/>
                <w:i/>
                <w:sz w:val="22"/>
              </w:rPr>
              <w:t>Vind</w:t>
            </w:r>
          </w:p>
        </w:tc>
        <w:tc>
          <w:tcPr>
            <w:tcW w:w="1309" w:type="dxa"/>
            <w:shd w:val="clear" w:color="auto" w:fill="DCDCDC"/>
            <w:noWrap/>
            <w:tcMar>
              <w:left w:w="2" w:type="dxa"/>
              <w:right w:w="2" w:type="dxa"/>
            </w:tcMar>
          </w:tcPr>
          <w:p w:rsidR="00C71AF5" w:rsidRDefault="00373116">
            <w:pPr>
              <w:spacing w:after="8"/>
              <w:rPr>
                <w:sz w:val="22"/>
              </w:rPr>
            </w:pPr>
            <w:r>
              <w:rPr>
                <w:b/>
                <w:i/>
                <w:sz w:val="22"/>
              </w:rPr>
              <w:t>Bølger</w:t>
            </w:r>
          </w:p>
        </w:tc>
        <w:tc>
          <w:tcPr>
            <w:tcW w:w="1309" w:type="dxa"/>
            <w:shd w:val="clear" w:color="auto" w:fill="DCDCDC"/>
            <w:noWrap/>
            <w:tcMar>
              <w:left w:w="2" w:type="dxa"/>
              <w:right w:w="2" w:type="dxa"/>
            </w:tcMar>
          </w:tcPr>
          <w:p w:rsidR="00C71AF5" w:rsidRDefault="00373116">
            <w:pPr>
              <w:spacing w:after="8"/>
              <w:rPr>
                <w:sz w:val="22"/>
              </w:rPr>
            </w:pPr>
            <w:r>
              <w:rPr>
                <w:b/>
                <w:i/>
                <w:sz w:val="22"/>
              </w:rPr>
              <w:t>Strøm</w:t>
            </w:r>
          </w:p>
        </w:tc>
        <w:tc>
          <w:tcPr>
            <w:tcW w:w="1309" w:type="dxa"/>
            <w:shd w:val="clear" w:color="auto" w:fill="DCDCDC"/>
            <w:noWrap/>
            <w:tcMar>
              <w:left w:w="2" w:type="dxa"/>
              <w:right w:w="2" w:type="dxa"/>
            </w:tcMar>
          </w:tcPr>
          <w:p w:rsidR="00C71AF5" w:rsidRDefault="00373116">
            <w:pPr>
              <w:spacing w:after="8"/>
              <w:rPr>
                <w:sz w:val="22"/>
              </w:rPr>
            </w:pPr>
            <w:r>
              <w:rPr>
                <w:b/>
                <w:i/>
                <w:sz w:val="22"/>
              </w:rPr>
              <w:t>Vannstand</w:t>
            </w:r>
          </w:p>
        </w:tc>
      </w:tr>
      <w:tr w:rsidR="00C71AF5">
        <w:trPr>
          <w:cantSplit/>
        </w:trPr>
        <w:tc>
          <w:tcPr>
            <w:tcW w:w="1495" w:type="dxa"/>
            <w:shd w:val="clear" w:color="auto" w:fill="FFFFFF"/>
            <w:noWrap/>
            <w:tcMar>
              <w:left w:w="2" w:type="dxa"/>
              <w:right w:w="2" w:type="dxa"/>
            </w:tcMar>
          </w:tcPr>
          <w:p w:rsidR="00C71AF5" w:rsidRDefault="00373116">
            <w:pPr>
              <w:spacing w:after="8"/>
              <w:rPr>
                <w:sz w:val="22"/>
              </w:rPr>
            </w:pPr>
            <w:r>
              <w:rPr>
                <w:sz w:val="22"/>
              </w:rPr>
              <w:t xml:space="preserve">Kombinering av miljøeffekter iht. § 10.1.2.  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 xml:space="preserve">  (Returperiode).</w:t>
            </w:r>
          </w:p>
        </w:tc>
        <w:tc>
          <w:tcPr>
            <w:tcW w:w="1309" w:type="dxa"/>
            <w:shd w:val="clear" w:color="auto" w:fill="FFFFFF"/>
            <w:noWrap/>
            <w:tcMar>
              <w:left w:w="2" w:type="dxa"/>
              <w:right w:w="2" w:type="dxa"/>
            </w:tcMar>
          </w:tcPr>
          <w:p w:rsidR="00C71AF5" w:rsidRDefault="00373116">
            <w:pPr>
              <w:spacing w:after="8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-4</w:t>
            </w:r>
          </w:p>
        </w:tc>
        <w:tc>
          <w:tcPr>
            <w:tcW w:w="1309" w:type="dxa"/>
            <w:shd w:val="clear" w:color="auto" w:fill="FFFFFF"/>
            <w:noWrap/>
            <w:tcMar>
              <w:left w:w="2" w:type="dxa"/>
              <w:right w:w="2" w:type="dxa"/>
            </w:tcMar>
          </w:tcPr>
          <w:p w:rsidR="00C71AF5" w:rsidRDefault="00373116">
            <w:pPr>
              <w:spacing w:after="8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-4</w:t>
            </w:r>
          </w:p>
        </w:tc>
        <w:tc>
          <w:tcPr>
            <w:tcW w:w="1309" w:type="dxa"/>
            <w:shd w:val="clear" w:color="auto" w:fill="FFFFFF"/>
            <w:noWrap/>
            <w:tcMar>
              <w:left w:w="2" w:type="dxa"/>
              <w:right w:w="2" w:type="dxa"/>
            </w:tcMar>
          </w:tcPr>
          <w:p w:rsidR="00C71AF5" w:rsidRDefault="00373116">
            <w:pPr>
              <w:spacing w:after="8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-1</w:t>
            </w:r>
          </w:p>
        </w:tc>
        <w:tc>
          <w:tcPr>
            <w:tcW w:w="1309" w:type="dxa"/>
            <w:shd w:val="clear" w:color="auto" w:fill="FFFFFF"/>
            <w:noWrap/>
            <w:tcMar>
              <w:left w:w="2" w:type="dxa"/>
              <w:right w:w="2" w:type="dxa"/>
            </w:tcMar>
          </w:tcPr>
          <w:p w:rsidR="00C71AF5" w:rsidRDefault="00373116">
            <w:pPr>
              <w:spacing w:after="8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  <w:vertAlign w:val="superscript"/>
              </w:rPr>
              <w:t>-2</w:t>
            </w:r>
          </w:p>
        </w:tc>
      </w:tr>
    </w:tbl>
    <w:p w:rsidR="00C71AF5" w:rsidRDefault="00C71AF5">
      <w:pPr>
        <w:spacing w:after="8"/>
        <w:rPr>
          <w:sz w:val="22"/>
        </w:rPr>
      </w:pPr>
    </w:p>
    <w:p w:rsidR="00C71AF5" w:rsidRDefault="00C71AF5">
      <w:pPr>
        <w:spacing w:before="120"/>
        <w:rPr>
          <w:sz w:val="6"/>
        </w:rPr>
      </w:pPr>
    </w:p>
    <w:p w:rsidR="00C71AF5" w:rsidRDefault="00C71AF5">
      <w:pPr>
        <w:rPr>
          <w:sz w:val="22"/>
        </w:rPr>
      </w:pPr>
    </w:p>
    <w:p w:rsidR="00C71AF5" w:rsidRDefault="00C71AF5">
      <w:pPr>
        <w:rPr>
          <w:sz w:val="6"/>
        </w:rPr>
      </w:pPr>
    </w:p>
    <w:p w:rsidR="00C71AF5" w:rsidRDefault="00373116">
      <w:pPr>
        <w:rPr>
          <w:sz w:val="22"/>
        </w:rPr>
      </w:pPr>
      <w:r>
        <w:rPr>
          <w:sz w:val="22"/>
        </w:rPr>
        <w:t>§ 12 nr. 4 siste strekpunkt oppheves.</w:t>
      </w:r>
    </w:p>
    <w:p w:rsidR="00C71AF5" w:rsidRDefault="00C71AF5">
      <w:pPr>
        <w:rPr>
          <w:sz w:val="6"/>
        </w:rPr>
      </w:pPr>
    </w:p>
    <w:p w:rsidR="00C71AF5" w:rsidRDefault="00373116">
      <w:pPr>
        <w:rPr>
          <w:sz w:val="6"/>
        </w:rPr>
      </w:pPr>
      <w:r>
        <w:rPr>
          <w:sz w:val="22"/>
        </w:rPr>
        <w:t>§ 12 ny nr. 5 skal lyde:</w:t>
      </w:r>
    </w:p>
    <w:p w:rsidR="00C71AF5" w:rsidRDefault="00C71AF5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9492"/>
      </w:tblGrid>
      <w:tr w:rsidR="00C71AF5">
        <w:tc>
          <w:tcPr>
            <w:tcW w:w="360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9146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Som alternativ til kravet i nr. 4 om faste nødlys med innebygget batterikraftkilde kan faste nødlys tilknyttet uavbrutt batterikraftkilde (UPS) brukes. Det skal utføres analyse av dekning, antall UPS-er og ruting av kabler for å sikre dekning som gitt i nr</w:t>
            </w:r>
            <w:r>
              <w:rPr>
                <w:sz w:val="22"/>
              </w:rPr>
              <w:t xml:space="preserve">. 1, også etter svikt/hendelse i et rom/område, jf. </w:t>
            </w:r>
            <w:hyperlink r:id="rId16" w:anchor="reference/forskrift/1993-12-22-1239" w:history="1">
              <w:r>
                <w:rPr>
                  <w:sz w:val="22"/>
                </w:rPr>
                <w:t>forskrift 22. desember 1993 nr. 1239</w:t>
              </w:r>
            </w:hyperlink>
            <w:r>
              <w:rPr>
                <w:sz w:val="22"/>
              </w:rPr>
              <w:t xml:space="preserve"> om risikoanalyse for flyttbare innretninger </w:t>
            </w:r>
            <w:hyperlink r:id="rId17" w:anchor="reference/forskrift/1987-09-04-856/§22" w:history="1">
              <w:r>
                <w:rPr>
                  <w:sz w:val="22"/>
                </w:rPr>
                <w:t>§ 22</w:t>
              </w:r>
            </w:hyperlink>
            <w:r>
              <w:rPr>
                <w:sz w:val="22"/>
              </w:rPr>
              <w:t xml:space="preserve"> og </w:t>
            </w:r>
            <w:hyperlink r:id="rId18" w:anchor="reference/forskrift/1987-09-04-856/§24" w:history="1">
              <w:r>
                <w:rPr>
                  <w:sz w:val="22"/>
                </w:rPr>
                <w:t>§ 24</w:t>
              </w:r>
            </w:hyperlink>
            <w:r>
              <w:rPr>
                <w:sz w:val="22"/>
              </w:rPr>
              <w:t>.</w:t>
            </w:r>
          </w:p>
          <w:p w:rsidR="00C71AF5" w:rsidRDefault="00C71AF5">
            <w:pPr>
              <w:rPr>
                <w:sz w:val="22"/>
              </w:rPr>
            </w:pPr>
          </w:p>
        </w:tc>
      </w:tr>
    </w:tbl>
    <w:p w:rsidR="00C71AF5" w:rsidRDefault="00C71AF5">
      <w:pPr>
        <w:rPr>
          <w:sz w:val="6"/>
        </w:rPr>
      </w:pPr>
    </w:p>
    <w:p w:rsidR="00C71AF5" w:rsidRDefault="00373116">
      <w:pPr>
        <w:rPr>
          <w:sz w:val="22"/>
        </w:rPr>
      </w:pPr>
      <w:r>
        <w:rPr>
          <w:sz w:val="22"/>
        </w:rPr>
        <w:t>Nåværende § 12 nr. 5 blir ny nr. 6.</w:t>
      </w:r>
    </w:p>
    <w:p w:rsidR="00C71AF5" w:rsidRDefault="00C71AF5">
      <w:pPr>
        <w:rPr>
          <w:sz w:val="6"/>
        </w:rPr>
      </w:pPr>
    </w:p>
    <w:p w:rsidR="00C71AF5" w:rsidRDefault="00373116">
      <w:pPr>
        <w:rPr>
          <w:sz w:val="6"/>
        </w:rPr>
      </w:pPr>
      <w:r>
        <w:rPr>
          <w:sz w:val="22"/>
        </w:rPr>
        <w:t>§ 13 nr. 4 skal lyde:</w:t>
      </w:r>
    </w:p>
    <w:p w:rsidR="00C71AF5" w:rsidRDefault="00C71AF5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9492"/>
      </w:tblGrid>
      <w:tr w:rsidR="00C71AF5">
        <w:tc>
          <w:tcPr>
            <w:tcW w:w="360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9146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 xml:space="preserve">Utstyr som er nevnt i nr. 2.1 og 2.2, skal være sertifisert. Utstyr som nevnt i nr. 3 skal være typegodkjent av teknisk kontrollorgan og merket i henhold til </w:t>
            </w:r>
            <w:hyperlink r:id="rId19" w:anchor="reference/forskrift/2016-08-30-1042" w:history="1">
              <w:r>
                <w:rPr>
                  <w:sz w:val="22"/>
                </w:rPr>
                <w:t>forskrift 30. augu</w:t>
              </w:r>
              <w:r>
                <w:rPr>
                  <w:sz w:val="22"/>
                </w:rPr>
                <w:t>st 2016 nr. 1042</w:t>
              </w:r>
            </w:hyperlink>
            <w:r>
              <w:rPr>
                <w:sz w:val="22"/>
              </w:rPr>
              <w:t xml:space="preserve"> om skipsutstyr.</w:t>
            </w:r>
          </w:p>
          <w:p w:rsidR="00C71AF5" w:rsidRDefault="00C71AF5">
            <w:pPr>
              <w:rPr>
                <w:sz w:val="22"/>
              </w:rPr>
            </w:pPr>
          </w:p>
        </w:tc>
      </w:tr>
    </w:tbl>
    <w:p w:rsidR="00C71AF5" w:rsidRDefault="00C71AF5">
      <w:pPr>
        <w:rPr>
          <w:sz w:val="6"/>
        </w:rPr>
      </w:pPr>
    </w:p>
    <w:p w:rsidR="00C71AF5" w:rsidRDefault="00373116">
      <w:pPr>
        <w:rPr>
          <w:sz w:val="6"/>
        </w:rPr>
      </w:pPr>
      <w:r>
        <w:rPr>
          <w:sz w:val="22"/>
        </w:rPr>
        <w:t>§ 14 ny nr. 2.10 skal lyde:</w:t>
      </w:r>
    </w:p>
    <w:p w:rsidR="00C71AF5" w:rsidRDefault="00C71AF5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C71AF5">
        <w:tc>
          <w:tcPr>
            <w:tcW w:w="720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2.10.</w:t>
            </w:r>
          </w:p>
        </w:tc>
        <w:tc>
          <w:tcPr>
            <w:tcW w:w="8786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Rundt åpninger i plan med dekk, kjøreramper o.l. skal det finnes karmer eller andre like effektive arrangementer som er minst 12 cm høye. Arrangementene skal festes slik at truckgafl</w:t>
            </w:r>
            <w:r>
              <w:rPr>
                <w:sz w:val="22"/>
              </w:rPr>
              <w:t>ene ikke kan løfte eller forskyve dem.</w:t>
            </w:r>
          </w:p>
          <w:p w:rsidR="00C71AF5" w:rsidRDefault="00C71AF5">
            <w:pPr>
              <w:rPr>
                <w:sz w:val="22"/>
              </w:rPr>
            </w:pPr>
          </w:p>
        </w:tc>
      </w:tr>
    </w:tbl>
    <w:p w:rsidR="00C71AF5" w:rsidRDefault="00C71AF5">
      <w:pPr>
        <w:rPr>
          <w:sz w:val="6"/>
        </w:rPr>
      </w:pPr>
    </w:p>
    <w:p w:rsidR="00C71AF5" w:rsidRDefault="00373116">
      <w:pPr>
        <w:rPr>
          <w:sz w:val="6"/>
        </w:rPr>
      </w:pPr>
      <w:r>
        <w:rPr>
          <w:sz w:val="22"/>
        </w:rPr>
        <w:t>§ 14 nr. 3.4 skal lyde:</w:t>
      </w:r>
    </w:p>
    <w:p w:rsidR="00C71AF5" w:rsidRDefault="00C71AF5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C71AF5">
        <w:tc>
          <w:tcPr>
            <w:tcW w:w="720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3.4.</w:t>
            </w:r>
          </w:p>
        </w:tc>
        <w:tc>
          <w:tcPr>
            <w:tcW w:w="8786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 xml:space="preserve">Leidertrinn skal være av minimum 22 mm firkantstål montert slik at en av firkantstålets kanter peker oppover. Alternativt kan en tilsvarende sklisikker løsning brukes. I vertikale </w:t>
            </w:r>
            <w:r>
              <w:rPr>
                <w:sz w:val="22"/>
              </w:rPr>
              <w:t>leidere skal det være enkle stegpinner og i skråstilte leidere doble.</w:t>
            </w:r>
          </w:p>
          <w:p w:rsidR="00C71AF5" w:rsidRDefault="00C71AF5">
            <w:pPr>
              <w:rPr>
                <w:sz w:val="22"/>
              </w:rPr>
            </w:pPr>
          </w:p>
        </w:tc>
      </w:tr>
    </w:tbl>
    <w:p w:rsidR="00C71AF5" w:rsidRDefault="00C71AF5">
      <w:pPr>
        <w:rPr>
          <w:sz w:val="6"/>
        </w:rPr>
      </w:pPr>
    </w:p>
    <w:p w:rsidR="00C71AF5" w:rsidRDefault="00373116">
      <w:pPr>
        <w:rPr>
          <w:sz w:val="22"/>
        </w:rPr>
      </w:pPr>
      <w:r>
        <w:rPr>
          <w:sz w:val="22"/>
        </w:rPr>
        <w:t>§ 23 skal oppheves.</w:t>
      </w:r>
      <w:bookmarkStart w:id="3" w:name="KAPITTEL_2"/>
      <w:bookmarkEnd w:id="3"/>
    </w:p>
    <w:p w:rsidR="00C71AF5" w:rsidRDefault="00C71AF5">
      <w:pPr>
        <w:rPr>
          <w:sz w:val="22"/>
        </w:rPr>
      </w:pPr>
    </w:p>
    <w:p w:rsidR="00C71AF5" w:rsidRDefault="00C71AF5">
      <w:pPr>
        <w:rPr>
          <w:sz w:val="22"/>
        </w:rPr>
      </w:pPr>
    </w:p>
    <w:p w:rsidR="00C71AF5" w:rsidRDefault="00373116">
      <w:pPr>
        <w:pStyle w:val="Overskrift2"/>
        <w:spacing w:before="0" w:after="0"/>
        <w:jc w:val="center"/>
        <w:rPr>
          <w:sz w:val="6"/>
        </w:rPr>
      </w:pPr>
      <w:r>
        <w:t>II</w:t>
      </w:r>
    </w:p>
    <w:p w:rsidR="00C71AF5" w:rsidRDefault="00373116">
      <w:pPr>
        <w:spacing w:before="120"/>
        <w:ind w:firstLine="180"/>
        <w:rPr>
          <w:sz w:val="22"/>
        </w:rPr>
      </w:pPr>
      <w:r>
        <w:rPr>
          <w:sz w:val="22"/>
        </w:rPr>
        <w:t xml:space="preserve">I </w:t>
      </w:r>
      <w:hyperlink r:id="rId20" w:anchor="reference/forskrift/1987-09-04-859" w:history="1">
        <w:r>
          <w:rPr>
            <w:sz w:val="22"/>
          </w:rPr>
          <w:t>forskrift 4. september 1987 nr. 859</w:t>
        </w:r>
      </w:hyperlink>
      <w:r>
        <w:rPr>
          <w:sz w:val="22"/>
        </w:rPr>
        <w:t xml:space="preserve"> om verne-, miljø- og sikkerhetstiltak </w:t>
      </w:r>
      <w:r>
        <w:rPr>
          <w:sz w:val="22"/>
        </w:rPr>
        <w:t>på flyttbare innretninger gjøres følgende endringer:</w:t>
      </w:r>
    </w:p>
    <w:p w:rsidR="00C71AF5" w:rsidRDefault="00C71AF5">
      <w:pPr>
        <w:spacing w:before="120"/>
        <w:ind w:firstLine="180"/>
        <w:rPr>
          <w:sz w:val="6"/>
        </w:rPr>
      </w:pPr>
    </w:p>
    <w:p w:rsidR="00C71AF5" w:rsidRDefault="00373116">
      <w:pPr>
        <w:rPr>
          <w:sz w:val="22"/>
        </w:rPr>
      </w:pPr>
      <w:r>
        <w:rPr>
          <w:sz w:val="22"/>
        </w:rPr>
        <w:t>§ 6 nr. 3 oppheves.</w:t>
      </w:r>
    </w:p>
    <w:p w:rsidR="00C71AF5" w:rsidRDefault="00C71AF5">
      <w:pPr>
        <w:rPr>
          <w:sz w:val="6"/>
        </w:rPr>
      </w:pPr>
    </w:p>
    <w:p w:rsidR="00C71AF5" w:rsidRDefault="00373116">
      <w:pPr>
        <w:rPr>
          <w:sz w:val="22"/>
        </w:rPr>
      </w:pPr>
      <w:r>
        <w:rPr>
          <w:sz w:val="22"/>
        </w:rPr>
        <w:t xml:space="preserve">§ 9 og </w:t>
      </w:r>
      <w:hyperlink r:id="rId21" w:anchor="reference/forskrift/1987-09-04-859/§10" w:history="1">
        <w:r>
          <w:rPr>
            <w:sz w:val="22"/>
          </w:rPr>
          <w:t>§ 10</w:t>
        </w:r>
      </w:hyperlink>
      <w:r>
        <w:rPr>
          <w:sz w:val="22"/>
        </w:rPr>
        <w:t xml:space="preserve"> oppheves.</w:t>
      </w:r>
    </w:p>
    <w:p w:rsidR="00C71AF5" w:rsidRDefault="00C71AF5">
      <w:pPr>
        <w:rPr>
          <w:sz w:val="6"/>
        </w:rPr>
      </w:pPr>
    </w:p>
    <w:p w:rsidR="00C71AF5" w:rsidRDefault="00373116">
      <w:pPr>
        <w:rPr>
          <w:sz w:val="6"/>
        </w:rPr>
      </w:pPr>
      <w:r>
        <w:rPr>
          <w:sz w:val="22"/>
        </w:rPr>
        <w:t>§ 12 nr. 2.2 skal lyde:</w:t>
      </w:r>
    </w:p>
    <w:p w:rsidR="00C71AF5" w:rsidRDefault="00C71AF5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C71AF5">
        <w:tc>
          <w:tcPr>
            <w:tcW w:w="720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2.2.</w:t>
            </w:r>
          </w:p>
        </w:tc>
        <w:tc>
          <w:tcPr>
            <w:tcW w:w="8786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 xml:space="preserve">Innretningens dekk skal holdes fri for </w:t>
            </w:r>
            <w:r>
              <w:rPr>
                <w:sz w:val="22"/>
              </w:rPr>
              <w:t>ansamling av vann, snø og is. Drenering skal kunne føres over bord.</w:t>
            </w:r>
          </w:p>
          <w:p w:rsidR="00C71AF5" w:rsidRDefault="00C71AF5">
            <w:pPr>
              <w:rPr>
                <w:sz w:val="22"/>
              </w:rPr>
            </w:pPr>
          </w:p>
        </w:tc>
      </w:tr>
    </w:tbl>
    <w:p w:rsidR="00C71AF5" w:rsidRDefault="00C71AF5">
      <w:pPr>
        <w:rPr>
          <w:sz w:val="6"/>
        </w:rPr>
      </w:pPr>
    </w:p>
    <w:p w:rsidR="00C71AF5" w:rsidRDefault="00373116">
      <w:pPr>
        <w:rPr>
          <w:sz w:val="6"/>
        </w:rPr>
      </w:pPr>
      <w:r>
        <w:rPr>
          <w:sz w:val="22"/>
        </w:rPr>
        <w:t>§ 12 nr. 4.1 skal lyde:</w:t>
      </w:r>
    </w:p>
    <w:p w:rsidR="00C71AF5" w:rsidRDefault="00C71AF5">
      <w:pPr>
        <w:rPr>
          <w:sz w:val="22"/>
        </w:rPr>
      </w:pPr>
    </w:p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9119"/>
      </w:tblGrid>
      <w:tr w:rsidR="00C71AF5">
        <w:tc>
          <w:tcPr>
            <w:tcW w:w="720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8786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 xml:space="preserve">Alle rør, borekroner, reservedeler, stålplater og profiler, etc. skal lagres på en hensiktsmessig og forsvarlig måte og sikres for å tåle en krengning som </w:t>
            </w:r>
            <w:r>
              <w:rPr>
                <w:sz w:val="22"/>
              </w:rPr>
              <w:t>tilsvarer den maksimale krengevinkel innretningen kan få ved den antatte skaden som definert i stabilitetsforskriften § 21.</w:t>
            </w:r>
          </w:p>
        </w:tc>
      </w:tr>
    </w:tbl>
    <w:p w:rsidR="00C71AF5" w:rsidRDefault="00C71AF5">
      <w:pPr>
        <w:rPr>
          <w:sz w:val="22"/>
        </w:rPr>
      </w:pPr>
      <w:bookmarkStart w:id="4" w:name="KAPITTEL_3"/>
      <w:bookmarkEnd w:id="4"/>
    </w:p>
    <w:p w:rsidR="00C71AF5" w:rsidRDefault="00C71AF5">
      <w:pPr>
        <w:rPr>
          <w:sz w:val="22"/>
        </w:rPr>
      </w:pPr>
    </w:p>
    <w:p w:rsidR="00C71AF5" w:rsidRDefault="00C71AF5">
      <w:pPr>
        <w:rPr>
          <w:sz w:val="22"/>
        </w:rPr>
      </w:pPr>
    </w:p>
    <w:p w:rsidR="00C71AF5" w:rsidRDefault="00373116">
      <w:pPr>
        <w:pStyle w:val="Overskrift2"/>
        <w:spacing w:before="0" w:after="0"/>
        <w:jc w:val="center"/>
        <w:rPr>
          <w:sz w:val="6"/>
        </w:rPr>
      </w:pPr>
      <w:r>
        <w:t>III</w:t>
      </w:r>
    </w:p>
    <w:p w:rsidR="00C71AF5" w:rsidRDefault="00373116">
      <w:pPr>
        <w:spacing w:before="120"/>
        <w:ind w:firstLine="180"/>
        <w:rPr>
          <w:sz w:val="22"/>
        </w:rPr>
      </w:pPr>
      <w:r>
        <w:rPr>
          <w:sz w:val="22"/>
        </w:rPr>
        <w:t xml:space="preserve">I </w:t>
      </w:r>
      <w:hyperlink r:id="rId22" w:anchor="reference/forskrift/2015-12-04-1406" w:history="1">
        <w:r>
          <w:rPr>
            <w:sz w:val="22"/>
          </w:rPr>
          <w:t>forskrift 4. desember 2015 nr. 1406</w:t>
        </w:r>
      </w:hyperlink>
      <w:r>
        <w:rPr>
          <w:sz w:val="22"/>
        </w:rPr>
        <w:t xml:space="preserve"> om drikkevann og drikkevannsanlegg på flyttbare innretninger gjøres følgende endringer:</w:t>
      </w:r>
    </w:p>
    <w:p w:rsidR="00C71AF5" w:rsidRDefault="00C71AF5">
      <w:pPr>
        <w:spacing w:before="120"/>
        <w:ind w:firstLine="180"/>
        <w:rPr>
          <w:sz w:val="6"/>
        </w:rPr>
      </w:pPr>
    </w:p>
    <w:p w:rsidR="00C71AF5" w:rsidRDefault="00373116">
      <w:pPr>
        <w:rPr>
          <w:sz w:val="6"/>
        </w:rPr>
      </w:pPr>
      <w:hyperlink r:id="rId23" w:anchor="reference/forskrift/2015-12-04-1406/§2" w:history="1">
        <w:r>
          <w:rPr>
            <w:sz w:val="22"/>
          </w:rPr>
          <w:t>§ 2</w:t>
        </w:r>
      </w:hyperlink>
      <w:r>
        <w:rPr>
          <w:sz w:val="22"/>
        </w:rPr>
        <w:t xml:space="preserve"> første ledd skal lyde:</w:t>
      </w:r>
    </w:p>
    <w:p w:rsidR="00C71AF5" w:rsidRDefault="00373116">
      <w:pPr>
        <w:spacing w:before="120"/>
        <w:rPr>
          <w:sz w:val="6"/>
        </w:rPr>
      </w:pPr>
      <w:r>
        <w:rPr>
          <w:sz w:val="22"/>
        </w:rPr>
        <w:t>(1) Drikkevannet skal være hygienisk betryggende. Det</w:t>
      </w:r>
      <w:r>
        <w:rPr>
          <w:sz w:val="22"/>
        </w:rPr>
        <w:t xml:space="preserve"> skal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5"/>
      </w:tblGrid>
      <w:tr w:rsidR="00C71AF5">
        <w:tc>
          <w:tcPr>
            <w:tcW w:w="360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a)</w:t>
            </w:r>
          </w:p>
        </w:tc>
        <w:tc>
          <w:tcPr>
            <w:tcW w:w="9506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være klart, uten fremtredende lukt, smak eller farge</w:t>
            </w:r>
          </w:p>
        </w:tc>
      </w:tr>
    </w:tbl>
    <w:p w:rsidR="00C71AF5" w:rsidRDefault="00C71AF5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5"/>
      </w:tblGrid>
      <w:tr w:rsidR="00C71AF5">
        <w:tc>
          <w:tcPr>
            <w:tcW w:w="360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9506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ikke inneholde fysiske, kjemiske eller biologiske komponenter som kan medføre fare for helseskade ved vanlig bruk</w:t>
            </w:r>
          </w:p>
        </w:tc>
      </w:tr>
    </w:tbl>
    <w:p w:rsidR="00C71AF5" w:rsidRDefault="00C71AF5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5"/>
      </w:tblGrid>
      <w:tr w:rsidR="00C71AF5">
        <w:tc>
          <w:tcPr>
            <w:tcW w:w="360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c)</w:t>
            </w:r>
          </w:p>
        </w:tc>
        <w:tc>
          <w:tcPr>
            <w:tcW w:w="9506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 xml:space="preserve">følge krav til kvalitet og prøvetaking i </w:t>
            </w:r>
            <w:hyperlink r:id="rId24" w:anchor="reference/forskrift/2016-12-22-1868" w:history="1">
              <w:r>
                <w:rPr>
                  <w:sz w:val="22"/>
                </w:rPr>
                <w:t>forskrift 22. desember 2016 nr. 1868</w:t>
              </w:r>
            </w:hyperlink>
            <w:r>
              <w:rPr>
                <w:sz w:val="22"/>
              </w:rPr>
              <w:t xml:space="preserve"> om vannforsyning og drikkevann (drikkevannsforskriften).</w:t>
            </w:r>
          </w:p>
          <w:p w:rsidR="00C71AF5" w:rsidRDefault="00C71AF5">
            <w:pPr>
              <w:rPr>
                <w:sz w:val="22"/>
              </w:rPr>
            </w:pPr>
          </w:p>
        </w:tc>
      </w:tr>
    </w:tbl>
    <w:p w:rsidR="00C71AF5" w:rsidRDefault="00C71AF5">
      <w:pPr>
        <w:rPr>
          <w:sz w:val="6"/>
        </w:rPr>
      </w:pPr>
    </w:p>
    <w:p w:rsidR="00C71AF5" w:rsidRDefault="00373116">
      <w:pPr>
        <w:rPr>
          <w:sz w:val="6"/>
        </w:rPr>
      </w:pPr>
      <w:hyperlink r:id="rId25" w:anchor="reference/forskrift/2015-12-04-1406/§8" w:history="1">
        <w:r>
          <w:rPr>
            <w:sz w:val="22"/>
          </w:rPr>
          <w:t>§ 8</w:t>
        </w:r>
      </w:hyperlink>
      <w:r>
        <w:rPr>
          <w:sz w:val="22"/>
        </w:rPr>
        <w:t xml:space="preserve"> første ledd skal lyde:</w:t>
      </w:r>
    </w:p>
    <w:p w:rsidR="00C71AF5" w:rsidRDefault="00373116">
      <w:pPr>
        <w:spacing w:before="120"/>
        <w:rPr>
          <w:sz w:val="6"/>
        </w:rPr>
      </w:pPr>
      <w:r>
        <w:rPr>
          <w:sz w:val="22"/>
        </w:rPr>
        <w:t>(1) En flyttbar innretning skal ha UV-anlegg med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5"/>
      </w:tblGrid>
      <w:tr w:rsidR="00C71AF5">
        <w:tc>
          <w:tcPr>
            <w:tcW w:w="360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a)</w:t>
            </w:r>
          </w:p>
        </w:tc>
        <w:tc>
          <w:tcPr>
            <w:tcW w:w="9506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tilstrekkelig behandlingskapasitet ved maksimalt forbruk og ved dårligste vannkvalitet, jf.</w:t>
            </w:r>
            <w:r>
              <w:rPr>
                <w:sz w:val="22"/>
              </w:rPr>
              <w:t xml:space="preserve"> § 2 første ledd bokstav c</w:t>
            </w:r>
          </w:p>
        </w:tc>
      </w:tr>
    </w:tbl>
    <w:p w:rsidR="00C71AF5" w:rsidRDefault="00C71AF5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5"/>
      </w:tblGrid>
      <w:tr w:rsidR="00C71AF5">
        <w:tc>
          <w:tcPr>
            <w:tcW w:w="360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9506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timeteller</w:t>
            </w:r>
          </w:p>
        </w:tc>
      </w:tr>
    </w:tbl>
    <w:p w:rsidR="00C71AF5" w:rsidRDefault="00C71AF5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5"/>
      </w:tblGrid>
      <w:tr w:rsidR="00C71AF5">
        <w:tc>
          <w:tcPr>
            <w:tcW w:w="360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c)</w:t>
            </w:r>
          </w:p>
        </w:tc>
        <w:tc>
          <w:tcPr>
            <w:tcW w:w="9506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intensimeter</w:t>
            </w:r>
          </w:p>
        </w:tc>
      </w:tr>
    </w:tbl>
    <w:p w:rsidR="00C71AF5" w:rsidRDefault="00C71AF5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5"/>
      </w:tblGrid>
      <w:tr w:rsidR="00C71AF5">
        <w:tc>
          <w:tcPr>
            <w:tcW w:w="360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d)</w:t>
            </w:r>
          </w:p>
        </w:tc>
        <w:tc>
          <w:tcPr>
            <w:tcW w:w="9506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signallamper for hvert UV-strålerør</w:t>
            </w:r>
          </w:p>
        </w:tc>
      </w:tr>
    </w:tbl>
    <w:p w:rsidR="00C71AF5" w:rsidRDefault="00C71AF5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5"/>
      </w:tblGrid>
      <w:tr w:rsidR="00C71AF5">
        <w:tc>
          <w:tcPr>
            <w:tcW w:w="360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e)</w:t>
            </w:r>
          </w:p>
        </w:tc>
        <w:tc>
          <w:tcPr>
            <w:tcW w:w="9506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magnetventil som stenger vannleveransen ved alarm eller strømbrudd.</w:t>
            </w:r>
          </w:p>
          <w:p w:rsidR="00C71AF5" w:rsidRDefault="00C71AF5">
            <w:pPr>
              <w:rPr>
                <w:sz w:val="22"/>
              </w:rPr>
            </w:pPr>
          </w:p>
        </w:tc>
      </w:tr>
    </w:tbl>
    <w:p w:rsidR="00C71AF5" w:rsidRDefault="00C71AF5">
      <w:pPr>
        <w:rPr>
          <w:sz w:val="6"/>
        </w:rPr>
      </w:pPr>
    </w:p>
    <w:p w:rsidR="00C71AF5" w:rsidRDefault="00373116">
      <w:pPr>
        <w:rPr>
          <w:sz w:val="22"/>
        </w:rPr>
      </w:pPr>
      <w:hyperlink r:id="rId26" w:anchor="reference/forskrift/2015-12-04-1406/§9" w:history="1">
        <w:r>
          <w:rPr>
            <w:sz w:val="22"/>
          </w:rPr>
          <w:t>§ 9</w:t>
        </w:r>
      </w:hyperlink>
      <w:r>
        <w:rPr>
          <w:sz w:val="22"/>
        </w:rPr>
        <w:t xml:space="preserve"> skal lyde:</w:t>
      </w:r>
    </w:p>
    <w:p w:rsidR="00C71AF5" w:rsidRDefault="00C71AF5">
      <w:pPr>
        <w:rPr>
          <w:sz w:val="22"/>
        </w:rPr>
      </w:pPr>
    </w:p>
    <w:p w:rsidR="00C71AF5" w:rsidRDefault="00373116">
      <w:pPr>
        <w:rPr>
          <w:sz w:val="6"/>
        </w:rPr>
      </w:pPr>
      <w:hyperlink r:id="rId27" w:anchor="reference/forskrift/2015-12-04-1406/§9" w:history="1">
        <w:r>
          <w:rPr>
            <w:sz w:val="22"/>
          </w:rPr>
          <w:t>§ 9</w:t>
        </w:r>
      </w:hyperlink>
      <w:r>
        <w:rPr>
          <w:sz w:val="22"/>
        </w:rPr>
        <w:t xml:space="preserve">. </w:t>
      </w:r>
      <w:r>
        <w:rPr>
          <w:i/>
          <w:sz w:val="22"/>
        </w:rPr>
        <w:t>Tilleggsbehandling av drikkevann som produseres av sjøvann</w:t>
      </w:r>
    </w:p>
    <w:p w:rsidR="00C71AF5" w:rsidRDefault="00373116">
      <w:pPr>
        <w:spacing w:before="120"/>
        <w:rPr>
          <w:sz w:val="6"/>
        </w:rPr>
      </w:pPr>
      <w:r>
        <w:rPr>
          <w:sz w:val="22"/>
        </w:rPr>
        <w:t>(1)</w:t>
      </w:r>
      <w:r>
        <w:rPr>
          <w:sz w:val="22"/>
        </w:rPr>
        <w:t xml:space="preserve"> En flyttbar innretning som produserer drikkevann fra sjøvann, skal ha alkaliseringsanlegg eller bruke vannglass for vannbehandling.</w:t>
      </w:r>
    </w:p>
    <w:p w:rsidR="00C71AF5" w:rsidRDefault="00373116">
      <w:pPr>
        <w:spacing w:before="120"/>
        <w:rPr>
          <w:sz w:val="6"/>
        </w:rPr>
      </w:pPr>
      <w:r>
        <w:rPr>
          <w:sz w:val="22"/>
        </w:rPr>
        <w:t>(2) I alkaliseringsanlegget skal det være mulighet for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5"/>
      </w:tblGrid>
      <w:tr w:rsidR="00C71AF5">
        <w:tc>
          <w:tcPr>
            <w:tcW w:w="360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a)</w:t>
            </w:r>
          </w:p>
        </w:tc>
        <w:tc>
          <w:tcPr>
            <w:tcW w:w="9506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tilstrekkelig tilbakespyling av filteret</w:t>
            </w:r>
          </w:p>
        </w:tc>
      </w:tr>
    </w:tbl>
    <w:p w:rsidR="00C71AF5" w:rsidRDefault="00C71AF5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5"/>
      </w:tblGrid>
      <w:tr w:rsidR="00C71AF5">
        <w:tc>
          <w:tcPr>
            <w:tcW w:w="360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b)</w:t>
            </w:r>
          </w:p>
        </w:tc>
        <w:tc>
          <w:tcPr>
            <w:tcW w:w="9506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enkel tilgang til i</w:t>
            </w:r>
            <w:r>
              <w:rPr>
                <w:sz w:val="22"/>
              </w:rPr>
              <w:t>nnvendig vedlikehold og utskifting av filtermateriale.</w:t>
            </w:r>
          </w:p>
          <w:p w:rsidR="00C71AF5" w:rsidRDefault="00C71AF5">
            <w:pPr>
              <w:rPr>
                <w:sz w:val="22"/>
              </w:rPr>
            </w:pPr>
          </w:p>
        </w:tc>
      </w:tr>
    </w:tbl>
    <w:p w:rsidR="00C71AF5" w:rsidRDefault="00C71AF5">
      <w:pPr>
        <w:rPr>
          <w:sz w:val="6"/>
        </w:rPr>
      </w:pPr>
    </w:p>
    <w:p w:rsidR="00C71AF5" w:rsidRDefault="00373116">
      <w:pPr>
        <w:rPr>
          <w:sz w:val="22"/>
        </w:rPr>
      </w:pPr>
      <w:hyperlink r:id="rId28" w:anchor="reference/forskrift/2015-12-04-1406/§12" w:history="1">
        <w:r>
          <w:rPr>
            <w:sz w:val="22"/>
          </w:rPr>
          <w:t>§ 12</w:t>
        </w:r>
      </w:hyperlink>
      <w:r>
        <w:rPr>
          <w:sz w:val="22"/>
        </w:rPr>
        <w:t xml:space="preserve"> skal lyde:</w:t>
      </w:r>
    </w:p>
    <w:p w:rsidR="00C71AF5" w:rsidRDefault="00C71AF5">
      <w:pPr>
        <w:rPr>
          <w:sz w:val="22"/>
        </w:rPr>
      </w:pPr>
    </w:p>
    <w:p w:rsidR="00C71AF5" w:rsidRDefault="00373116">
      <w:pPr>
        <w:rPr>
          <w:sz w:val="6"/>
        </w:rPr>
      </w:pPr>
      <w:hyperlink r:id="rId29" w:anchor="reference/forskrift/2015-12-04-1406/§12" w:history="1">
        <w:r>
          <w:rPr>
            <w:sz w:val="22"/>
          </w:rPr>
          <w:t>§ 12</w:t>
        </w:r>
      </w:hyperlink>
      <w:r>
        <w:rPr>
          <w:sz w:val="22"/>
        </w:rPr>
        <w:t xml:space="preserve">. </w:t>
      </w:r>
      <w:r>
        <w:rPr>
          <w:i/>
          <w:sz w:val="22"/>
        </w:rPr>
        <w:t>Bunkringsstasjon</w:t>
      </w:r>
    </w:p>
    <w:p w:rsidR="00C71AF5" w:rsidRDefault="00373116">
      <w:pPr>
        <w:spacing w:before="120"/>
        <w:rPr>
          <w:sz w:val="6"/>
        </w:rPr>
      </w:pPr>
      <w:r>
        <w:rPr>
          <w:sz w:val="22"/>
        </w:rPr>
        <w:t>(1) En flyttbar innretning skal ha bunkringsstasjon. Flyttbare innretninger uten vannproduksjonsanlegg skal ha minst to bunkringsstasjoner.</w:t>
      </w:r>
    </w:p>
    <w:p w:rsidR="00C71AF5" w:rsidRDefault="00373116">
      <w:pPr>
        <w:spacing w:before="120"/>
        <w:rPr>
          <w:sz w:val="6"/>
        </w:rPr>
      </w:pPr>
      <w:r>
        <w:rPr>
          <w:sz w:val="22"/>
        </w:rPr>
        <w:lastRenderedPageBreak/>
        <w:t>(2) Bunkringsstasjon skal ha avstengingsventil. Mellom avstengingsventilen og slangetilkoblingen sk</w:t>
      </w:r>
      <w:r>
        <w:rPr>
          <w:sz w:val="22"/>
        </w:rPr>
        <w:t>al det være vannprøvekran og spyleventil.</w:t>
      </w:r>
    </w:p>
    <w:p w:rsidR="00C71AF5" w:rsidRDefault="00373116">
      <w:pPr>
        <w:spacing w:before="120"/>
        <w:rPr>
          <w:sz w:val="22"/>
        </w:rPr>
      </w:pPr>
      <w:r>
        <w:rPr>
          <w:sz w:val="22"/>
        </w:rPr>
        <w:t>(3) Spyleventilen skal være lett tilgjengelig og ha samme kapasitet som bunkringsrøret.</w:t>
      </w:r>
      <w:bookmarkStart w:id="5" w:name="KAPITTEL_4"/>
      <w:bookmarkEnd w:id="5"/>
    </w:p>
    <w:p w:rsidR="00C71AF5" w:rsidRDefault="00C71AF5">
      <w:pPr>
        <w:rPr>
          <w:sz w:val="22"/>
        </w:rPr>
      </w:pPr>
    </w:p>
    <w:p w:rsidR="00C71AF5" w:rsidRDefault="00C71AF5">
      <w:pPr>
        <w:rPr>
          <w:sz w:val="22"/>
        </w:rPr>
      </w:pPr>
    </w:p>
    <w:p w:rsidR="00C71AF5" w:rsidRDefault="00373116">
      <w:pPr>
        <w:pStyle w:val="Overskrift2"/>
        <w:spacing w:before="0" w:after="0"/>
        <w:jc w:val="center"/>
        <w:rPr>
          <w:sz w:val="6"/>
        </w:rPr>
      </w:pPr>
      <w:r>
        <w:t>IV</w:t>
      </w:r>
    </w:p>
    <w:p w:rsidR="00C71AF5" w:rsidRDefault="00373116">
      <w:pPr>
        <w:spacing w:before="120"/>
        <w:ind w:firstLine="180"/>
        <w:rPr>
          <w:sz w:val="22"/>
        </w:rPr>
      </w:pPr>
      <w:r>
        <w:rPr>
          <w:sz w:val="22"/>
        </w:rPr>
        <w:t xml:space="preserve">I </w:t>
      </w:r>
      <w:hyperlink r:id="rId30" w:anchor="reference/forskrift/1986-12-17-2318" w:history="1">
        <w:r>
          <w:rPr>
            <w:sz w:val="22"/>
          </w:rPr>
          <w:t>forskrift 17. desember 1986 nr. 2318</w:t>
        </w:r>
      </w:hyperlink>
      <w:r>
        <w:rPr>
          <w:sz w:val="22"/>
        </w:rPr>
        <w:t xml:space="preserve"> om konstruksjon og utrustning av boligkvarteret på flyttbare innretninger gjøres følgende endring:</w:t>
      </w:r>
    </w:p>
    <w:p w:rsidR="00C71AF5" w:rsidRDefault="00C71AF5">
      <w:pPr>
        <w:spacing w:before="120"/>
        <w:ind w:firstLine="180"/>
        <w:rPr>
          <w:sz w:val="6"/>
        </w:rPr>
      </w:pPr>
    </w:p>
    <w:p w:rsidR="00C71AF5" w:rsidRDefault="00373116">
      <w:pPr>
        <w:rPr>
          <w:sz w:val="6"/>
        </w:rPr>
      </w:pPr>
      <w:r>
        <w:rPr>
          <w:sz w:val="22"/>
        </w:rPr>
        <w:t>§ 8 nr. 6 første punktum skal lyde: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5"/>
      </w:tblGrid>
      <w:tr w:rsidR="00C71AF5">
        <w:tc>
          <w:tcPr>
            <w:tcW w:w="360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9506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Alle trapper i boligkvarteret skal ha en skråstilling som ikke overstiger 45° fra horisontalplanet, og skal ha lik a</w:t>
            </w:r>
            <w:r>
              <w:rPr>
                <w:sz w:val="22"/>
              </w:rPr>
              <w:t>vstand mellom trinnene.</w:t>
            </w:r>
          </w:p>
        </w:tc>
      </w:tr>
    </w:tbl>
    <w:p w:rsidR="00C71AF5" w:rsidRDefault="00C71AF5">
      <w:pPr>
        <w:rPr>
          <w:sz w:val="22"/>
        </w:rPr>
      </w:pPr>
      <w:bookmarkStart w:id="6" w:name="KAPITTEL_5"/>
      <w:bookmarkEnd w:id="6"/>
    </w:p>
    <w:p w:rsidR="00C71AF5" w:rsidRDefault="00C71AF5">
      <w:pPr>
        <w:rPr>
          <w:sz w:val="22"/>
        </w:rPr>
      </w:pPr>
    </w:p>
    <w:p w:rsidR="00C71AF5" w:rsidRDefault="00C71AF5">
      <w:pPr>
        <w:rPr>
          <w:sz w:val="22"/>
        </w:rPr>
      </w:pPr>
    </w:p>
    <w:p w:rsidR="00C71AF5" w:rsidRDefault="00373116">
      <w:pPr>
        <w:pStyle w:val="Overskrift2"/>
        <w:spacing w:before="0" w:after="0"/>
        <w:jc w:val="center"/>
        <w:rPr>
          <w:sz w:val="6"/>
        </w:rPr>
      </w:pPr>
      <w:r>
        <w:t>V</w:t>
      </w:r>
    </w:p>
    <w:p w:rsidR="00C71AF5" w:rsidRDefault="00373116">
      <w:pPr>
        <w:spacing w:before="120"/>
        <w:ind w:firstLine="180"/>
        <w:rPr>
          <w:sz w:val="22"/>
        </w:rPr>
      </w:pPr>
      <w:r>
        <w:rPr>
          <w:sz w:val="22"/>
        </w:rPr>
        <w:t xml:space="preserve">I </w:t>
      </w:r>
      <w:hyperlink r:id="rId31" w:anchor="reference/forskrift/1991-12-20-878" w:history="1">
        <w:r>
          <w:rPr>
            <w:sz w:val="22"/>
          </w:rPr>
          <w:t>forskrift 20. desember 1991 nr. 878</w:t>
        </w:r>
      </w:hyperlink>
      <w:r>
        <w:rPr>
          <w:sz w:val="22"/>
        </w:rPr>
        <w:t xml:space="preserve"> om stabilitet, vanntett oppdeling og vanntette/værtette lukningsmidler på flyttbare innretninger gjøres følgende endring:</w:t>
      </w:r>
    </w:p>
    <w:p w:rsidR="00C71AF5" w:rsidRDefault="00C71AF5">
      <w:pPr>
        <w:spacing w:before="120"/>
        <w:ind w:firstLine="180"/>
        <w:rPr>
          <w:sz w:val="6"/>
        </w:rPr>
      </w:pPr>
    </w:p>
    <w:p w:rsidR="00C71AF5" w:rsidRDefault="00373116">
      <w:pPr>
        <w:rPr>
          <w:sz w:val="6"/>
        </w:rPr>
      </w:pPr>
      <w:r>
        <w:rPr>
          <w:sz w:val="22"/>
        </w:rPr>
        <w:t>§ 21 nr. 1 skal lyde:</w:t>
      </w:r>
    </w:p>
    <w:p w:rsidR="00C71AF5" w:rsidRDefault="00373116">
      <w:pPr>
        <w:spacing w:before="120"/>
        <w:ind w:firstLine="180"/>
        <w:rPr>
          <w:sz w:val="6"/>
        </w:rPr>
      </w:pPr>
      <w:r>
        <w:rPr>
          <w:sz w:val="22"/>
        </w:rPr>
        <w:t>Krav til stabilitet når innretningen er antatt skadet i henhold til § 23 til § 28, er: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5"/>
      </w:tblGrid>
      <w:tr w:rsidR="00C71AF5">
        <w:tc>
          <w:tcPr>
            <w:tcW w:w="360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06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r>
              <w:rPr>
                <w:sz w:val="22"/>
              </w:rPr>
              <w:t>Vannlinjen i den end</w:t>
            </w:r>
            <w:r>
              <w:rPr>
                <w:sz w:val="22"/>
              </w:rPr>
              <w:t>elige likevektstilstand etter fylling, når det tas hensyn til effekten av vind, skal være under den laveste kanten av enhver åpning som kan lede til fylling av rom som i beregningene forutsettes intakte. Slike åpninger inkluderer lufterør (uansett luknings</w:t>
            </w:r>
            <w:r>
              <w:rPr>
                <w:sz w:val="22"/>
              </w:rPr>
              <w:t>midler), ventilatorer, ventilasjonsåpninger, ikke-vanntette lukningsmidler, jf. kapittel X. Åpninger utstyrt med fjernopererte vanntette dører som er lukket under drift og lysventiler som ikke kan åpnes, anses ikke å lede til fylling.</w:t>
            </w:r>
          </w:p>
        </w:tc>
      </w:tr>
    </w:tbl>
    <w:p w:rsidR="00C71AF5" w:rsidRDefault="00C71AF5">
      <w:pPr>
        <w:rPr>
          <w:sz w:val="22"/>
        </w:rPr>
      </w:pPr>
      <w:bookmarkStart w:id="7" w:name="KAPITTEL_6"/>
      <w:bookmarkEnd w:id="7"/>
    </w:p>
    <w:p w:rsidR="00C71AF5" w:rsidRDefault="00C71AF5">
      <w:pPr>
        <w:rPr>
          <w:sz w:val="22"/>
        </w:rPr>
      </w:pPr>
    </w:p>
    <w:p w:rsidR="00C71AF5" w:rsidRDefault="00C71AF5">
      <w:pPr>
        <w:rPr>
          <w:sz w:val="22"/>
        </w:rPr>
      </w:pPr>
    </w:p>
    <w:p w:rsidR="00C71AF5" w:rsidRDefault="00373116">
      <w:pPr>
        <w:pStyle w:val="Overskrift2"/>
        <w:spacing w:before="0" w:after="0"/>
        <w:jc w:val="center"/>
        <w:rPr>
          <w:sz w:val="6"/>
        </w:rPr>
      </w:pPr>
      <w:r>
        <w:t>VI</w:t>
      </w:r>
    </w:p>
    <w:p w:rsidR="00C71AF5" w:rsidRDefault="00373116">
      <w:pPr>
        <w:spacing w:before="120"/>
        <w:ind w:firstLine="180"/>
        <w:rPr>
          <w:sz w:val="22"/>
        </w:rPr>
      </w:pPr>
      <w:r>
        <w:rPr>
          <w:sz w:val="22"/>
        </w:rPr>
        <w:t xml:space="preserve">I </w:t>
      </w:r>
      <w:hyperlink r:id="rId32" w:anchor="reference/forskrift/1993-12-22-1239" w:history="1">
        <w:r>
          <w:rPr>
            <w:sz w:val="22"/>
          </w:rPr>
          <w:t>forskrift 22. desember 1993 nr. 1239</w:t>
        </w:r>
      </w:hyperlink>
      <w:r>
        <w:rPr>
          <w:sz w:val="22"/>
        </w:rPr>
        <w:t xml:space="preserve"> om risikoanalyse for flyttbare innretninger gjøres følgende endring:</w:t>
      </w:r>
    </w:p>
    <w:p w:rsidR="00C71AF5" w:rsidRDefault="00C71AF5">
      <w:pPr>
        <w:spacing w:before="120"/>
        <w:ind w:firstLine="180"/>
        <w:rPr>
          <w:sz w:val="6"/>
        </w:rPr>
      </w:pPr>
    </w:p>
    <w:p w:rsidR="00C71AF5" w:rsidRDefault="00373116">
      <w:pPr>
        <w:rPr>
          <w:sz w:val="22"/>
        </w:rPr>
      </w:pPr>
      <w:r>
        <w:rPr>
          <w:sz w:val="22"/>
        </w:rPr>
        <w:t>§ 2 nr. 22 oppheves.</w:t>
      </w:r>
      <w:bookmarkStart w:id="8" w:name="KAPITTEL_7"/>
      <w:bookmarkEnd w:id="8"/>
    </w:p>
    <w:p w:rsidR="00C71AF5" w:rsidRDefault="00C71AF5">
      <w:pPr>
        <w:rPr>
          <w:sz w:val="22"/>
        </w:rPr>
      </w:pPr>
    </w:p>
    <w:p w:rsidR="00C71AF5" w:rsidRDefault="00C71AF5">
      <w:pPr>
        <w:rPr>
          <w:sz w:val="22"/>
        </w:rPr>
      </w:pPr>
    </w:p>
    <w:p w:rsidR="00C71AF5" w:rsidRDefault="00373116">
      <w:pPr>
        <w:pStyle w:val="Overskrift2"/>
        <w:spacing w:before="0" w:after="0"/>
        <w:jc w:val="center"/>
        <w:rPr>
          <w:sz w:val="6"/>
        </w:rPr>
      </w:pPr>
      <w:r>
        <w:t>VII</w:t>
      </w:r>
    </w:p>
    <w:p w:rsidR="00C71AF5" w:rsidRDefault="00373116">
      <w:pPr>
        <w:spacing w:before="120"/>
        <w:ind w:firstLine="180"/>
        <w:rPr>
          <w:sz w:val="6"/>
        </w:rPr>
      </w:pPr>
      <w:r>
        <w:rPr>
          <w:sz w:val="22"/>
        </w:rPr>
        <w:t xml:space="preserve">I følgende bestemmelser skal uttrykket </w:t>
      </w:r>
      <w:r>
        <w:rPr>
          <w:sz w:val="22"/>
        </w:rPr>
        <w:t>«sertifisert» endres til «førstegangssertifisert».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5"/>
      </w:tblGrid>
      <w:tr w:rsidR="00C71AF5">
        <w:tc>
          <w:tcPr>
            <w:tcW w:w="360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9506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hyperlink r:id="rId33" w:anchor="reference/forskrift/2015-12-04-1406" w:history="1">
              <w:r>
                <w:rPr>
                  <w:sz w:val="22"/>
                </w:rPr>
                <w:t>forskrift 4. desember 2015 nr. 1406</w:t>
              </w:r>
            </w:hyperlink>
            <w:r>
              <w:rPr>
                <w:sz w:val="22"/>
              </w:rPr>
              <w:t xml:space="preserve"> om drikkevann og drikkevannsanlegg på flyttbare innretninger </w:t>
            </w:r>
            <w:hyperlink r:id="rId34" w:anchor="reference/forskrift/2015-12-04-1406/§7" w:history="1">
              <w:r>
                <w:rPr>
                  <w:sz w:val="22"/>
                </w:rPr>
                <w:t>§ 7</w:t>
              </w:r>
            </w:hyperlink>
            <w:r>
              <w:rPr>
                <w:sz w:val="22"/>
              </w:rPr>
              <w:t xml:space="preserve"> femte ledd, </w:t>
            </w:r>
            <w:hyperlink r:id="rId35" w:anchor="reference/forskrift/2015-12-04-1406/§10" w:history="1">
              <w:r>
                <w:rPr>
                  <w:sz w:val="22"/>
                </w:rPr>
                <w:t>§ 10</w:t>
              </w:r>
            </w:hyperlink>
            <w:r>
              <w:rPr>
                <w:sz w:val="22"/>
              </w:rPr>
              <w:t xml:space="preserve"> tredje ledd andre punktum og </w:t>
            </w:r>
            <w:hyperlink r:id="rId36" w:anchor="reference/forskrift/2015-12-04-1406/§17" w:history="1">
              <w:r>
                <w:rPr>
                  <w:sz w:val="22"/>
                </w:rPr>
                <w:t>§ 17</w:t>
              </w:r>
            </w:hyperlink>
            <w:r>
              <w:rPr>
                <w:sz w:val="22"/>
              </w:rPr>
              <w:t>.</w:t>
            </w:r>
          </w:p>
        </w:tc>
      </w:tr>
    </w:tbl>
    <w:p w:rsidR="00C71AF5" w:rsidRDefault="00C71AF5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5"/>
      </w:tblGrid>
      <w:tr w:rsidR="00C71AF5">
        <w:tc>
          <w:tcPr>
            <w:tcW w:w="360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9506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hyperlink r:id="rId37" w:anchor="reference/forskrift/2015-12-04-1392" w:history="1">
              <w:r>
                <w:rPr>
                  <w:sz w:val="22"/>
                </w:rPr>
                <w:t>forskrift 4. desember 2015 nr. 1392</w:t>
              </w:r>
            </w:hyperlink>
            <w:r>
              <w:rPr>
                <w:sz w:val="22"/>
              </w:rPr>
              <w:t xml:space="preserve"> om slepearrangement og forflytning av flyttbare innretninger (slepeforskriften) </w:t>
            </w:r>
            <w:hyperlink r:id="rId38" w:anchor="reference/forskrift/2015-12-04-1392/§5" w:history="1">
              <w:r>
                <w:rPr>
                  <w:sz w:val="22"/>
                </w:rPr>
                <w:t>§ 5</w:t>
              </w:r>
            </w:hyperlink>
            <w:r>
              <w:rPr>
                <w:sz w:val="22"/>
              </w:rPr>
              <w:t xml:space="preserve"> fjerde ledd, </w:t>
            </w:r>
            <w:hyperlink r:id="rId39" w:anchor="reference/forskrift/2015-12-04-1392/§8" w:history="1">
              <w:r>
                <w:rPr>
                  <w:sz w:val="22"/>
                </w:rPr>
                <w:t>§ 8</w:t>
              </w:r>
            </w:hyperlink>
            <w:r>
              <w:rPr>
                <w:sz w:val="22"/>
              </w:rPr>
              <w:t xml:space="preserve"> femte ledd og </w:t>
            </w:r>
            <w:hyperlink r:id="rId40" w:anchor="reference/forskrift/2015-12-04-1392/§15" w:history="1">
              <w:r>
                <w:rPr>
                  <w:sz w:val="22"/>
                </w:rPr>
                <w:t>§ 15</w:t>
              </w:r>
            </w:hyperlink>
            <w:r>
              <w:rPr>
                <w:sz w:val="22"/>
              </w:rPr>
              <w:t>.</w:t>
            </w:r>
          </w:p>
        </w:tc>
      </w:tr>
    </w:tbl>
    <w:p w:rsidR="00C71AF5" w:rsidRDefault="00C71AF5">
      <w:pPr>
        <w:rPr>
          <w:sz w:val="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9585"/>
      </w:tblGrid>
      <w:tr w:rsidR="00C71AF5">
        <w:tc>
          <w:tcPr>
            <w:tcW w:w="360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9506" w:type="dxa"/>
            <w:shd w:val="clear" w:color="auto" w:fill="FFFFFF"/>
            <w:noWrap/>
            <w:tcMar>
              <w:left w:w="2" w:type="dxa"/>
              <w:right w:w="80" w:type="dxa"/>
            </w:tcMar>
          </w:tcPr>
          <w:p w:rsidR="00C71AF5" w:rsidRDefault="00373116">
            <w:pPr>
              <w:rPr>
                <w:sz w:val="22"/>
              </w:rPr>
            </w:pPr>
            <w:hyperlink r:id="rId41" w:anchor="reference/forskrift/2016-01-27-67" w:history="1">
              <w:r>
                <w:rPr>
                  <w:sz w:val="22"/>
                </w:rPr>
                <w:t>forskrift 27. januar 2016 nr. 67</w:t>
              </w:r>
            </w:hyperlink>
            <w:r>
              <w:rPr>
                <w:sz w:val="22"/>
              </w:rPr>
              <w:t xml:space="preserve"> om ballastsystem på flyttbare innretninger (ballastforskriften) </w:t>
            </w:r>
            <w:hyperlink r:id="rId42" w:anchor="reference/forskrift/2016-01-27-67/§17" w:history="1">
              <w:r>
                <w:rPr>
                  <w:sz w:val="22"/>
                </w:rPr>
                <w:t>§ 17</w:t>
              </w:r>
            </w:hyperlink>
            <w:r>
              <w:rPr>
                <w:sz w:val="22"/>
              </w:rPr>
              <w:t xml:space="preserve"> andre ledd, </w:t>
            </w:r>
            <w:hyperlink r:id="rId43" w:anchor="reference/forskrift/2016-01-27-67/§18" w:history="1">
              <w:r>
                <w:rPr>
                  <w:sz w:val="22"/>
                </w:rPr>
                <w:t>§ 18</w:t>
              </w:r>
            </w:hyperlink>
            <w:r>
              <w:rPr>
                <w:sz w:val="22"/>
              </w:rPr>
              <w:t xml:space="preserve"> andre ledd og </w:t>
            </w:r>
            <w:hyperlink r:id="rId44" w:anchor="reference/forskrift/2016-01-27-67/§21" w:history="1">
              <w:r>
                <w:rPr>
                  <w:sz w:val="22"/>
                </w:rPr>
                <w:t>§ 21</w:t>
              </w:r>
            </w:hyperlink>
            <w:r>
              <w:rPr>
                <w:sz w:val="22"/>
              </w:rPr>
              <w:t>.</w:t>
            </w:r>
          </w:p>
        </w:tc>
      </w:tr>
    </w:tbl>
    <w:p w:rsidR="00C71AF5" w:rsidRDefault="00C71AF5">
      <w:pPr>
        <w:rPr>
          <w:sz w:val="22"/>
        </w:rPr>
      </w:pPr>
      <w:bookmarkStart w:id="9" w:name="KAPITTEL_8"/>
      <w:bookmarkEnd w:id="9"/>
    </w:p>
    <w:p w:rsidR="00C71AF5" w:rsidRDefault="00C71AF5">
      <w:pPr>
        <w:rPr>
          <w:sz w:val="22"/>
        </w:rPr>
      </w:pPr>
    </w:p>
    <w:p w:rsidR="00C71AF5" w:rsidRDefault="00C71AF5">
      <w:pPr>
        <w:rPr>
          <w:sz w:val="22"/>
        </w:rPr>
      </w:pPr>
    </w:p>
    <w:p w:rsidR="00C71AF5" w:rsidRDefault="00373116">
      <w:pPr>
        <w:pStyle w:val="Overskrift2"/>
        <w:spacing w:before="0" w:after="0"/>
        <w:jc w:val="center"/>
        <w:rPr>
          <w:sz w:val="6"/>
        </w:rPr>
      </w:pPr>
      <w:r>
        <w:t>VIII</w:t>
      </w:r>
    </w:p>
    <w:p w:rsidR="00C71AF5" w:rsidRDefault="00373116">
      <w:pPr>
        <w:spacing w:before="120"/>
        <w:ind w:firstLine="180"/>
        <w:rPr>
          <w:sz w:val="22"/>
        </w:rPr>
      </w:pPr>
      <w:r>
        <w:rPr>
          <w:sz w:val="22"/>
        </w:rPr>
        <w:t>Forskriften trer i kraft 1. januar 2018.</w:t>
      </w:r>
      <w:bookmarkEnd w:id="1"/>
    </w:p>
    <w:sectPr w:rsidR="00C71AF5">
      <w:headerReference w:type="default" r:id="rId45"/>
      <w:footerReference w:type="default" r:id="rId46"/>
      <w:pgSz w:w="11906" w:h="16838"/>
      <w:pgMar w:top="1020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3116">
      <w:r>
        <w:separator/>
      </w:r>
    </w:p>
  </w:endnote>
  <w:endnote w:type="continuationSeparator" w:id="0">
    <w:p w:rsidR="00000000" w:rsidRDefault="0037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F5" w:rsidRDefault="00373116">
    <w:pPr>
      <w:jc w:val="center"/>
      <w:rPr>
        <w:sz w:val="18"/>
      </w:rPr>
    </w:pPr>
    <w:r>
      <w:rPr>
        <w:sz w:val="18"/>
      </w:rPr>
      <w:t xml:space="preserve"> </w:t>
    </w:r>
  </w:p>
  <w:p w:rsidR="00C71AF5" w:rsidRDefault="00373116">
    <w:pPr>
      <w:jc w:val="center"/>
      <w:rPr>
        <w:sz w:val="18"/>
      </w:rPr>
    </w:pPr>
    <w:r>
      <w:rPr>
        <w:sz w:val="18"/>
      </w:rPr>
      <w:t xml:space="preserve">Forskrift om endring i diverse forskrifter som </w:t>
    </w:r>
    <w:r>
      <w:rPr>
        <w:sz w:val="18"/>
      </w:rPr>
      <w:t>gjelder for flyttbare innretninger</w:t>
    </w:r>
  </w:p>
  <w:p w:rsidR="00C71AF5" w:rsidRDefault="00373116">
    <w:pPr>
      <w:jc w:val="center"/>
      <w:rPr>
        <w:sz w:val="18"/>
      </w:rPr>
    </w:pPr>
    <w:r>
      <w:rPr>
        <w:sz w:val="18"/>
      </w:rPr>
      <w:t xml:space="preserve">Side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3116">
      <w:r>
        <w:separator/>
      </w:r>
    </w:p>
  </w:footnote>
  <w:footnote w:type="continuationSeparator" w:id="0">
    <w:p w:rsidR="00000000" w:rsidRDefault="0037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F5" w:rsidRDefault="00373116">
    <w:pPr>
      <w:jc w:val="right"/>
      <w:rPr>
        <w:sz w:val="18"/>
      </w:rPr>
    </w:pPr>
    <w:r>
      <w:rPr>
        <w:sz w:val="18"/>
      </w:rPr>
      <w:t>Utskrift fra Lovdata - 31.01.2018 08:31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F5"/>
    <w:rsid w:val="00373116"/>
    <w:rsid w:val="00C7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E75849-B2CF-46A9-A3F6-7640BD91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EF7B96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EF7B96"/>
    <w:pPr>
      <w:spacing w:before="240" w:after="60"/>
      <w:outlineLvl w:val="7"/>
    </w:pPr>
    <w:rPr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rsid w:val="00805BCE"/>
    <w:rPr>
      <w:b/>
      <w:sz w:val="22"/>
    </w:rPr>
  </w:style>
  <w:style w:type="paragraph" w:styleId="INNH2">
    <w:name w:val="toc 2"/>
    <w:basedOn w:val="Normal"/>
    <w:next w:val="Normal"/>
    <w:autoRedefine/>
    <w:rsid w:val="00805BCE"/>
    <w:pPr>
      <w:ind w:left="240"/>
    </w:pPr>
    <w:rPr>
      <w:b/>
      <w:sz w:val="22"/>
    </w:rPr>
  </w:style>
  <w:style w:type="paragraph" w:styleId="INNH3">
    <w:name w:val="toc 3"/>
    <w:basedOn w:val="Normal"/>
    <w:next w:val="Normal"/>
    <w:autoRedefine/>
    <w:rsid w:val="00805BCE"/>
    <w:pPr>
      <w:ind w:left="480"/>
    </w:pPr>
    <w:rPr>
      <w:b/>
      <w:sz w:val="22"/>
    </w:rPr>
  </w:style>
  <w:style w:type="paragraph" w:styleId="INNH4">
    <w:name w:val="toc 4"/>
    <w:basedOn w:val="Normal"/>
    <w:next w:val="Normal"/>
    <w:autoRedefine/>
    <w:rsid w:val="00805BCE"/>
    <w:pPr>
      <w:ind w:left="720"/>
    </w:pPr>
    <w:rPr>
      <w:b/>
      <w:sz w:val="22"/>
    </w:rPr>
  </w:style>
  <w:style w:type="paragraph" w:styleId="INNH5">
    <w:name w:val="toc 5"/>
    <w:basedOn w:val="Normal"/>
    <w:next w:val="Normal"/>
    <w:autoRedefine/>
    <w:rsid w:val="00805BCE"/>
    <w:pPr>
      <w:ind w:left="960"/>
    </w:pPr>
    <w:rPr>
      <w:b/>
      <w:sz w:val="22"/>
    </w:rPr>
  </w:style>
  <w:style w:type="paragraph" w:styleId="INNH6">
    <w:name w:val="toc 6"/>
    <w:basedOn w:val="Normal"/>
    <w:next w:val="Normal"/>
    <w:autoRedefine/>
    <w:rsid w:val="00805BCE"/>
    <w:pPr>
      <w:ind w:left="1200"/>
    </w:pPr>
    <w:rPr>
      <w:b/>
      <w:sz w:val="22"/>
    </w:rPr>
  </w:style>
  <w:style w:type="paragraph" w:styleId="INNH7">
    <w:name w:val="toc 7"/>
    <w:basedOn w:val="Normal"/>
    <w:next w:val="Normal"/>
    <w:autoRedefine/>
    <w:rsid w:val="00805BCE"/>
    <w:pPr>
      <w:ind w:left="1440"/>
    </w:pPr>
    <w:rPr>
      <w:b/>
      <w:sz w:val="22"/>
    </w:rPr>
  </w:style>
  <w:style w:type="paragraph" w:styleId="INNH8">
    <w:name w:val="toc 8"/>
    <w:basedOn w:val="Normal"/>
    <w:next w:val="Normal"/>
    <w:autoRedefine/>
    <w:rsid w:val="00805BCE"/>
    <w:pPr>
      <w:ind w:left="1680"/>
    </w:pPr>
    <w:rPr>
      <w:b/>
      <w:sz w:val="22"/>
    </w:rPr>
  </w:style>
  <w:style w:type="paragraph" w:styleId="INNH9">
    <w:name w:val="toc 9"/>
    <w:basedOn w:val="Normal"/>
    <w:next w:val="Normal"/>
    <w:autoRedefine/>
    <w:rsid w:val="00805BCE"/>
    <w:pPr>
      <w:ind w:left="1920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data.no/pro" TargetMode="External"/><Relationship Id="rId13" Type="http://schemas.openxmlformats.org/officeDocument/2006/relationships/hyperlink" Target="http://www.lovdata.no/pro" TargetMode="External"/><Relationship Id="rId18" Type="http://schemas.openxmlformats.org/officeDocument/2006/relationships/hyperlink" Target="http://www.lovdata.no/pro" TargetMode="External"/><Relationship Id="rId26" Type="http://schemas.openxmlformats.org/officeDocument/2006/relationships/hyperlink" Target="http://www.lovdata.no/pro" TargetMode="External"/><Relationship Id="rId39" Type="http://schemas.openxmlformats.org/officeDocument/2006/relationships/hyperlink" Target="http://www.lovdata.no/pr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ovdata.no/pro" TargetMode="External"/><Relationship Id="rId34" Type="http://schemas.openxmlformats.org/officeDocument/2006/relationships/hyperlink" Target="http://www.lovdata.no/pro" TargetMode="External"/><Relationship Id="rId42" Type="http://schemas.openxmlformats.org/officeDocument/2006/relationships/hyperlink" Target="http://www.lovdata.no/pro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lovdata.no/pro" TargetMode="External"/><Relationship Id="rId12" Type="http://schemas.openxmlformats.org/officeDocument/2006/relationships/hyperlink" Target="http://www.lovdata.no/pro" TargetMode="External"/><Relationship Id="rId17" Type="http://schemas.openxmlformats.org/officeDocument/2006/relationships/hyperlink" Target="http://www.lovdata.no/pro" TargetMode="External"/><Relationship Id="rId25" Type="http://schemas.openxmlformats.org/officeDocument/2006/relationships/hyperlink" Target="http://www.lovdata.no/pro" TargetMode="External"/><Relationship Id="rId33" Type="http://schemas.openxmlformats.org/officeDocument/2006/relationships/hyperlink" Target="http://www.lovdata.no/pro" TargetMode="External"/><Relationship Id="rId38" Type="http://schemas.openxmlformats.org/officeDocument/2006/relationships/hyperlink" Target="http://www.lovdata.no/pro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lovdata.no/pro" TargetMode="External"/><Relationship Id="rId20" Type="http://schemas.openxmlformats.org/officeDocument/2006/relationships/hyperlink" Target="http://www.lovdata.no/pro" TargetMode="External"/><Relationship Id="rId29" Type="http://schemas.openxmlformats.org/officeDocument/2006/relationships/hyperlink" Target="http://www.lovdata.no/pro" TargetMode="External"/><Relationship Id="rId41" Type="http://schemas.openxmlformats.org/officeDocument/2006/relationships/hyperlink" Target="http://www.lovdata.no/pr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ovdata.no/pro" TargetMode="External"/><Relationship Id="rId24" Type="http://schemas.openxmlformats.org/officeDocument/2006/relationships/hyperlink" Target="http://www.lovdata.no/pro" TargetMode="External"/><Relationship Id="rId32" Type="http://schemas.openxmlformats.org/officeDocument/2006/relationships/hyperlink" Target="http://www.lovdata.no/pro" TargetMode="External"/><Relationship Id="rId37" Type="http://schemas.openxmlformats.org/officeDocument/2006/relationships/hyperlink" Target="http://www.lovdata.no/pro" TargetMode="External"/><Relationship Id="rId40" Type="http://schemas.openxmlformats.org/officeDocument/2006/relationships/hyperlink" Target="http://www.lovdata.no/pro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lovdata.no/pro" TargetMode="External"/><Relationship Id="rId23" Type="http://schemas.openxmlformats.org/officeDocument/2006/relationships/hyperlink" Target="http://www.lovdata.no/pro" TargetMode="External"/><Relationship Id="rId28" Type="http://schemas.openxmlformats.org/officeDocument/2006/relationships/hyperlink" Target="http://www.lovdata.no/pro" TargetMode="External"/><Relationship Id="rId36" Type="http://schemas.openxmlformats.org/officeDocument/2006/relationships/hyperlink" Target="http://www.lovdata.no/pro" TargetMode="External"/><Relationship Id="rId10" Type="http://schemas.openxmlformats.org/officeDocument/2006/relationships/hyperlink" Target="http://www.lovdata.no/pro" TargetMode="External"/><Relationship Id="rId19" Type="http://schemas.openxmlformats.org/officeDocument/2006/relationships/hyperlink" Target="http://www.lovdata.no/pro" TargetMode="External"/><Relationship Id="rId31" Type="http://schemas.openxmlformats.org/officeDocument/2006/relationships/hyperlink" Target="http://www.lovdata.no/pro" TargetMode="External"/><Relationship Id="rId44" Type="http://schemas.openxmlformats.org/officeDocument/2006/relationships/hyperlink" Target="http://www.lovdata.no/p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vdata.no/pro" TargetMode="External"/><Relationship Id="rId14" Type="http://schemas.openxmlformats.org/officeDocument/2006/relationships/hyperlink" Target="http://www.lovdata.no/pro" TargetMode="External"/><Relationship Id="rId22" Type="http://schemas.openxmlformats.org/officeDocument/2006/relationships/hyperlink" Target="http://www.lovdata.no/pro" TargetMode="External"/><Relationship Id="rId27" Type="http://schemas.openxmlformats.org/officeDocument/2006/relationships/hyperlink" Target="http://www.lovdata.no/pro" TargetMode="External"/><Relationship Id="rId30" Type="http://schemas.openxmlformats.org/officeDocument/2006/relationships/hyperlink" Target="http://www.lovdata.no/pro" TargetMode="External"/><Relationship Id="rId35" Type="http://schemas.openxmlformats.org/officeDocument/2006/relationships/hyperlink" Target="http://www.lovdata.no/pro" TargetMode="External"/><Relationship Id="rId43" Type="http://schemas.openxmlformats.org/officeDocument/2006/relationships/hyperlink" Target="http://www.lovdata.no/pro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1874</Words>
  <Characters>9936</Characters>
  <Application>Microsoft Office Word</Application>
  <DocSecurity>4</DocSecurity>
  <Lines>82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Forskrift om endring i diverse forskrifter som gjelder for flyttbare innretninger</vt:lpstr>
      <vt:lpstr/>
    </vt:vector>
  </TitlesOfParts>
  <Company>Stiftelsen Lovdata</Company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Forskrift om endring i diverse forskrifter som gjelder for flyttbare innretninger</dc:title>
  <dc:subject>Forskrift om endring i diverse forskrifter som gjelder for flyttbare innretninger</dc:subject>
  <dc:creator>Stiftelsen Lovdata</dc:creator>
  <cp:lastModifiedBy>Werner Dagsland</cp:lastModifiedBy>
  <cp:revision>2</cp:revision>
  <dcterms:created xsi:type="dcterms:W3CDTF">2018-01-31T07:31:00Z</dcterms:created>
  <dcterms:modified xsi:type="dcterms:W3CDTF">2018-01-31T07:31:00Z</dcterms:modified>
  <cp:category>Juridisk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faultFont">
    <vt:lpwstr>Times New Roman</vt:lpwstr>
  </property>
  <property fmtid="{D5CDD505-2E9C-101B-9397-08002B2CF9AE}" pid="3" name="Lovdata-UID">
    <vt:i4>21358</vt:i4>
  </property>
</Properties>
</file>